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07" w:rsidRDefault="008152B0" w:rsidP="00702A16">
      <w:pPr>
        <w:bidi w:val="0"/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Market Design A</w:t>
      </w:r>
      <w:r w:rsidR="000D25CE" w:rsidRPr="000D25CE">
        <w:rPr>
          <w:rFonts w:asciiTheme="majorHAnsi" w:hAnsiTheme="majorHAnsi"/>
          <w:b/>
          <w:bCs/>
          <w:sz w:val="28"/>
          <w:szCs w:val="28"/>
        </w:rPr>
        <w:t xml:space="preserve"> (HUJI, Semester B, 2015-2016)</w:t>
      </w:r>
    </w:p>
    <w:p w:rsidR="0074135A" w:rsidRPr="00AF5D7D" w:rsidRDefault="0074135A" w:rsidP="00702A16">
      <w:pPr>
        <w:bidi w:val="0"/>
        <w:spacing w:line="240" w:lineRule="auto"/>
      </w:pPr>
      <w:r w:rsidRPr="00AF5D7D">
        <w:t xml:space="preserve">Last updated </w:t>
      </w:r>
      <w:r w:rsidRPr="00AF5D7D">
        <w:fldChar w:fldCharType="begin"/>
      </w:r>
      <w:r w:rsidRPr="00AF5D7D">
        <w:rPr>
          <w:rtl/>
        </w:rPr>
        <w:instrText xml:space="preserve"> </w:instrText>
      </w:r>
      <w:r w:rsidRPr="00AF5D7D">
        <w:instrText>DATE</w:instrText>
      </w:r>
      <w:r w:rsidRPr="00AF5D7D">
        <w:rPr>
          <w:rtl/>
        </w:rPr>
        <w:instrText xml:space="preserve"> \@ "</w:instrText>
      </w:r>
      <w:r w:rsidRPr="00AF5D7D">
        <w:instrText>dd/MM/yyyy</w:instrText>
      </w:r>
      <w:r w:rsidRPr="00AF5D7D">
        <w:rPr>
          <w:rtl/>
        </w:rPr>
        <w:instrText xml:space="preserve">" </w:instrText>
      </w:r>
      <w:r w:rsidRPr="00AF5D7D">
        <w:fldChar w:fldCharType="separate"/>
      </w:r>
      <w:r w:rsidR="009A17C7">
        <w:rPr>
          <w:rFonts w:hint="cs"/>
          <w:noProof/>
          <w:rtl/>
        </w:rPr>
        <w:t>‏</w:t>
      </w:r>
      <w:r w:rsidR="009A17C7">
        <w:rPr>
          <w:noProof/>
          <w:rtl/>
        </w:rPr>
        <w:t>12/10/2015</w:t>
      </w:r>
      <w:r w:rsidRPr="00AF5D7D">
        <w:fldChar w:fldCharType="end"/>
      </w:r>
    </w:p>
    <w:p w:rsidR="002E5E5A" w:rsidRPr="002E5E5A" w:rsidRDefault="002E5E5A" w:rsidP="00702A16">
      <w:pPr>
        <w:bidi w:val="0"/>
        <w:spacing w:line="240" w:lineRule="auto"/>
        <w:rPr>
          <w:sz w:val="4"/>
          <w:szCs w:val="4"/>
        </w:rPr>
      </w:pPr>
    </w:p>
    <w:p w:rsidR="00403FB6" w:rsidRDefault="009E2457" w:rsidP="00702A16">
      <w:pPr>
        <w:bidi w:val="0"/>
        <w:spacing w:line="240" w:lineRule="auto"/>
      </w:pPr>
      <w:r>
        <w:t>This</w:t>
      </w:r>
      <w:r w:rsidR="00FA174F">
        <w:t xml:space="preserve"> course </w:t>
      </w:r>
      <w:r>
        <w:t xml:space="preserve">aims to introduce concepts, approaches and results in the field of Market Design. </w:t>
      </w:r>
      <w:r w:rsidR="00FE2A1D">
        <w:t>Market Design</w:t>
      </w:r>
      <w:r>
        <w:t xml:space="preserve"> can be roughly described as the attempt to study </w:t>
      </w:r>
      <w:r w:rsidRPr="009E2457">
        <w:t>real</w:t>
      </w:r>
      <w:r>
        <w:t xml:space="preserve"> markets </w:t>
      </w:r>
      <w:r w:rsidR="009D218E">
        <w:t xml:space="preserve">and find practical ways to improve them, with a strong emphasis on matching markets. </w:t>
      </w:r>
      <w:r>
        <w:t xml:space="preserve">We will become familiar with the market designer toolbox, as well as review case studies that </w:t>
      </w:r>
      <w:r w:rsidR="009D218E">
        <w:t>call for further expansion of the basic tools.</w:t>
      </w:r>
      <w:r w:rsidR="00FE2A1D">
        <w:t xml:space="preserve"> In particular, we will </w:t>
      </w:r>
      <w:r w:rsidR="00403FB6">
        <w:t>consider one-sided and two-sided matching mar</w:t>
      </w:r>
      <w:r w:rsidR="006B46B3">
        <w:t xml:space="preserve">kets, learn algorithms that are </w:t>
      </w:r>
      <w:r w:rsidR="00403FB6">
        <w:t xml:space="preserve">useful in designing centralized matching systems, and try to rethink some of the recent </w:t>
      </w:r>
      <w:r w:rsidR="008F1827">
        <w:t>design</w:t>
      </w:r>
      <w:r w:rsidR="00403FB6">
        <w:t xml:space="preserve"> efforts that have been taking place in Israel and elsewhere in the world.</w:t>
      </w:r>
    </w:p>
    <w:p w:rsidR="00FE2A1D" w:rsidRDefault="00AF5D7D" w:rsidP="00702A16">
      <w:pPr>
        <w:bidi w:val="0"/>
        <w:spacing w:line="240" w:lineRule="auto"/>
      </w:pPr>
      <w:r>
        <w:t xml:space="preserve">This course is intended for </w:t>
      </w:r>
      <w:r w:rsidR="001903CF">
        <w:t>graduate (</w:t>
      </w:r>
      <w:r>
        <w:t>masters and PhD</w:t>
      </w:r>
      <w:r w:rsidR="001903CF">
        <w:t>)</w:t>
      </w:r>
      <w:r w:rsidR="00FE2A1D">
        <w:t xml:space="preserve"> student</w:t>
      </w:r>
      <w:r w:rsidR="00EE58C9">
        <w:t>s</w:t>
      </w:r>
      <w:r>
        <w:t xml:space="preserve"> </w:t>
      </w:r>
      <w:r w:rsidR="00FE2A1D">
        <w:t xml:space="preserve">of Economics or at the Center for the Study of Rationality </w:t>
      </w:r>
      <w:r>
        <w:t xml:space="preserve">who </w:t>
      </w:r>
      <w:r w:rsidR="00EE58C9">
        <w:t>are</w:t>
      </w:r>
      <w:r w:rsidR="00FE2A1D">
        <w:t xml:space="preserve"> </w:t>
      </w:r>
      <w:r>
        <w:t>familiar wit</w:t>
      </w:r>
      <w:r w:rsidR="00FE2A1D">
        <w:t>h basic concepts in game theory. It is open (with instructor's permission) to any other student with the proper background.</w:t>
      </w:r>
    </w:p>
    <w:p w:rsidR="00470CFC" w:rsidRDefault="00403FB6" w:rsidP="00702A16">
      <w:pPr>
        <w:bidi w:val="0"/>
        <w:spacing w:line="240" w:lineRule="auto"/>
        <w:rPr>
          <w:b/>
          <w:bCs/>
        </w:rPr>
      </w:pPr>
      <w:r>
        <w:t>The biggest motivation for this course is to encourage students (from all disciplines) to take active part in market design research, and produce a final project that may develop into a publishable paper. Therefore, each student will be required to submit a preliminary idea near the middle of the semester, and a final project up to one week after classes are done.</w:t>
      </w:r>
      <w:r w:rsidR="00EB4068">
        <w:t xml:space="preserve"> Projects can be of different varieties (theoretical, experimental, practical redesign, or any other academically sound </w:t>
      </w:r>
      <w:r w:rsidR="00470CFC">
        <w:t xml:space="preserve">and well documented effort). </w:t>
      </w:r>
    </w:p>
    <w:p w:rsidR="00470CFC" w:rsidRPr="00470CFC" w:rsidRDefault="00470CFC" w:rsidP="00702A16">
      <w:pPr>
        <w:bidi w:val="0"/>
        <w:spacing w:line="240" w:lineRule="auto"/>
        <w:rPr>
          <w:rtl/>
        </w:rPr>
      </w:pPr>
      <w:r>
        <w:rPr>
          <w:b/>
          <w:bCs/>
        </w:rPr>
        <w:t>Note:</w:t>
      </w:r>
      <w:r>
        <w:t xml:space="preserve"> PhD students in the Center for the Study of Rationality </w:t>
      </w:r>
      <w:r w:rsidR="006B46B3">
        <w:t xml:space="preserve">(but </w:t>
      </w:r>
      <w:r w:rsidR="00812AE3">
        <w:t xml:space="preserve">not </w:t>
      </w:r>
      <w:r w:rsidR="00601106">
        <w:t>students of Economics</w:t>
      </w:r>
      <w:r w:rsidR="0032678E">
        <w:t xml:space="preserve"> and CS</w:t>
      </w:r>
      <w:r w:rsidR="00601106">
        <w:t xml:space="preserve">!) </w:t>
      </w:r>
      <w:r>
        <w:t>ma</w:t>
      </w:r>
      <w:r w:rsidR="0032678E">
        <w:t>y</w:t>
      </w:r>
      <w:r>
        <w:t xml:space="preserve"> take this class for active participation. In this case I will on</w:t>
      </w:r>
      <w:r w:rsidR="00D60DAE">
        <w:t>ly require attendance</w:t>
      </w:r>
      <w:r>
        <w:t xml:space="preserve"> and a "referee report" of a recent paper (to be agreed upon together, according to the student's interests).</w:t>
      </w:r>
      <w:r w:rsidR="00601106">
        <w:t xml:space="preserve"> </w:t>
      </w:r>
    </w:p>
    <w:p w:rsidR="00FE2A1D" w:rsidRDefault="00FE2A1D" w:rsidP="00702A16">
      <w:pPr>
        <w:bidi w:val="0"/>
        <w:spacing w:line="240" w:lineRule="auto"/>
        <w:rPr>
          <w:u w:val="single"/>
        </w:rPr>
      </w:pPr>
    </w:p>
    <w:p w:rsidR="00BB3FE5" w:rsidRDefault="00BB3FE5" w:rsidP="00702A16">
      <w:pPr>
        <w:bidi w:val="0"/>
        <w:spacing w:line="240" w:lineRule="auto"/>
      </w:pPr>
      <w:r>
        <w:rPr>
          <w:b/>
          <w:bCs/>
        </w:rPr>
        <w:t xml:space="preserve">Instructor: </w:t>
      </w:r>
      <w:proofErr w:type="spellStart"/>
      <w:r>
        <w:t>Assaf</w:t>
      </w:r>
      <w:proofErr w:type="spellEnd"/>
      <w:r>
        <w:t xml:space="preserve"> </w:t>
      </w:r>
      <w:proofErr w:type="spellStart"/>
      <w:r>
        <w:t>Romm</w:t>
      </w:r>
      <w:proofErr w:type="spellEnd"/>
      <w:r>
        <w:t>,</w:t>
      </w:r>
      <w:r w:rsidR="00F674C9">
        <w:t xml:space="preserve"> Mount Scopus,</w:t>
      </w:r>
      <w:r>
        <w:t xml:space="preserve"> </w:t>
      </w:r>
      <w:proofErr w:type="spellStart"/>
      <w:r>
        <w:t>Hevra</w:t>
      </w:r>
      <w:proofErr w:type="spellEnd"/>
      <w:r>
        <w:t xml:space="preserve"> 5226, </w:t>
      </w:r>
      <w:hyperlink r:id="rId6" w:history="1">
        <w:r w:rsidR="00064C6E" w:rsidRPr="007575AE">
          <w:rPr>
            <w:rStyle w:val="Hyperlink"/>
          </w:rPr>
          <w:t>assaf.romm@mail.huji.ac.il</w:t>
        </w:r>
      </w:hyperlink>
      <w:r w:rsidR="00064C6E">
        <w:t xml:space="preserve">, </w:t>
      </w:r>
      <w:r w:rsidR="00F674C9">
        <w:t>OH: Monday 10:00</w:t>
      </w:r>
      <w:r w:rsidR="00740515">
        <w:t>-11</w:t>
      </w:r>
      <w:r w:rsidR="00F674C9">
        <w:t>:00.</w:t>
      </w:r>
    </w:p>
    <w:p w:rsidR="00AA0FBC" w:rsidRDefault="00AA0FBC" w:rsidP="00702A16">
      <w:pPr>
        <w:bidi w:val="0"/>
        <w:spacing w:line="240" w:lineRule="auto"/>
      </w:pPr>
      <w:r>
        <w:rPr>
          <w:b/>
          <w:bCs/>
        </w:rPr>
        <w:t>Course requirements:</w:t>
      </w:r>
      <w:r>
        <w:t xml:space="preserve"> </w:t>
      </w:r>
      <w:r w:rsidR="00EE37C3">
        <w:t>A</w:t>
      </w:r>
      <w:r w:rsidR="00D60DAE">
        <w:t>ttendance (</w:t>
      </w:r>
      <w:r w:rsidR="00EE37C3">
        <w:t>up to 2 misses</w:t>
      </w:r>
      <w:r w:rsidR="00D60DAE">
        <w:t xml:space="preserve">), </w:t>
      </w:r>
      <w:r w:rsidR="009F5AC8">
        <w:t xml:space="preserve">reading the required readings and submitting one paragraph response, </w:t>
      </w:r>
      <w:r w:rsidR="00D60DAE">
        <w:t>submitting a research idea in one paragraph half-way through the course, and a final paper (</w:t>
      </w:r>
      <w:r w:rsidR="004F731C">
        <w:t xml:space="preserve">4-10 pages). </w:t>
      </w:r>
      <w:r>
        <w:t>Some students may be requested to do a class presentation on their final paper.</w:t>
      </w:r>
    </w:p>
    <w:p w:rsidR="005E3F08" w:rsidRPr="008C0792" w:rsidRDefault="005E3F08" w:rsidP="00702A16">
      <w:pPr>
        <w:bidi w:val="0"/>
        <w:spacing w:line="240" w:lineRule="auto"/>
        <w:rPr>
          <w:sz w:val="12"/>
          <w:szCs w:val="12"/>
        </w:rPr>
      </w:pPr>
    </w:p>
    <w:p w:rsidR="00D86DCA" w:rsidRDefault="00AA1455" w:rsidP="00702A16">
      <w:pPr>
        <w:bidi w:val="0"/>
        <w:spacing w:line="240" w:lineRule="auto"/>
        <w:rPr>
          <w:b/>
          <w:bCs/>
        </w:rPr>
      </w:pPr>
      <w:r>
        <w:rPr>
          <w:b/>
          <w:bCs/>
        </w:rPr>
        <w:t>Recommended textbook</w:t>
      </w:r>
      <w:r w:rsidR="00D86DCA">
        <w:rPr>
          <w:b/>
          <w:bCs/>
        </w:rPr>
        <w:t>:</w:t>
      </w:r>
    </w:p>
    <w:p w:rsidR="00AA1455" w:rsidRDefault="00335DA6" w:rsidP="00702A16">
      <w:pPr>
        <w:pStyle w:val="ListParagraph"/>
        <w:numPr>
          <w:ilvl w:val="0"/>
          <w:numId w:val="4"/>
        </w:numPr>
        <w:bidi w:val="0"/>
        <w:spacing w:line="240" w:lineRule="auto"/>
      </w:pPr>
      <w:r w:rsidRPr="00335DA6">
        <w:t>Roth, A. E., &amp; Sotomayor, M. A. O. (1992). Two-sided matching: A study in game-theoretic modeling and analysis (No. 18). Cambridge University Press.</w:t>
      </w:r>
    </w:p>
    <w:p w:rsidR="005E3F08" w:rsidRDefault="005E3F08" w:rsidP="00702A16">
      <w:pPr>
        <w:pStyle w:val="ListParagraph"/>
        <w:bidi w:val="0"/>
        <w:spacing w:line="240" w:lineRule="auto"/>
        <w:ind w:left="1080"/>
      </w:pPr>
    </w:p>
    <w:p w:rsidR="00683C90" w:rsidRDefault="00683C90" w:rsidP="00702A16">
      <w:pPr>
        <w:pStyle w:val="ListParagraph"/>
        <w:bidi w:val="0"/>
        <w:spacing w:line="240" w:lineRule="auto"/>
        <w:ind w:left="1080"/>
      </w:pPr>
    </w:p>
    <w:p w:rsidR="002E5E5A" w:rsidRDefault="002E5E5A" w:rsidP="00702A16">
      <w:pPr>
        <w:bidi w:val="0"/>
        <w:spacing w:line="240" w:lineRule="auto"/>
        <w:rPr>
          <w:b/>
          <w:bCs/>
          <w:sz w:val="16"/>
          <w:szCs w:val="16"/>
        </w:rPr>
      </w:pPr>
    </w:p>
    <w:p w:rsidR="00702A16" w:rsidRDefault="00702A16" w:rsidP="00702A16">
      <w:pPr>
        <w:bidi w:val="0"/>
        <w:spacing w:line="240" w:lineRule="auto"/>
        <w:rPr>
          <w:b/>
          <w:bCs/>
          <w:sz w:val="16"/>
          <w:szCs w:val="16"/>
        </w:rPr>
      </w:pPr>
    </w:p>
    <w:p w:rsidR="00702A16" w:rsidRDefault="00702A16" w:rsidP="00702A16">
      <w:pPr>
        <w:bidi w:val="0"/>
        <w:spacing w:line="240" w:lineRule="auto"/>
        <w:rPr>
          <w:b/>
          <w:bCs/>
          <w:sz w:val="16"/>
          <w:szCs w:val="16"/>
        </w:rPr>
      </w:pPr>
    </w:p>
    <w:p w:rsidR="00702A16" w:rsidRPr="002E5E5A" w:rsidRDefault="00702A16" w:rsidP="00702A16">
      <w:pPr>
        <w:bidi w:val="0"/>
        <w:spacing w:line="240" w:lineRule="auto"/>
        <w:rPr>
          <w:b/>
          <w:bCs/>
          <w:sz w:val="16"/>
          <w:szCs w:val="16"/>
        </w:rPr>
      </w:pPr>
    </w:p>
    <w:p w:rsidR="006B46B3" w:rsidRDefault="006B46B3" w:rsidP="00702A16">
      <w:pPr>
        <w:bidi w:val="0"/>
        <w:spacing w:line="240" w:lineRule="auto"/>
        <w:rPr>
          <w:b/>
          <w:bCs/>
        </w:rPr>
      </w:pPr>
      <w:r>
        <w:rPr>
          <w:b/>
          <w:bCs/>
        </w:rPr>
        <w:lastRenderedPageBreak/>
        <w:t>Preliminary schedule and relevant bibliography: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1"/>
        <w:gridCol w:w="1645"/>
        <w:gridCol w:w="6946"/>
      </w:tblGrid>
      <w:tr w:rsidR="002E5E5A" w:rsidTr="008C0792">
        <w:tc>
          <w:tcPr>
            <w:tcW w:w="731" w:type="dxa"/>
          </w:tcPr>
          <w:p w:rsidR="002E5E5A" w:rsidRDefault="0069557A" w:rsidP="00702A16">
            <w:pPr>
              <w:bidi w:val="0"/>
              <w:contextualSpacing/>
              <w:jc w:val="center"/>
            </w:pPr>
            <w:r>
              <w:t>Date</w:t>
            </w:r>
          </w:p>
        </w:tc>
        <w:tc>
          <w:tcPr>
            <w:tcW w:w="1645" w:type="dxa"/>
          </w:tcPr>
          <w:p w:rsidR="002E5E5A" w:rsidRDefault="002E5E5A" w:rsidP="00702A16">
            <w:pPr>
              <w:bidi w:val="0"/>
              <w:contextualSpacing/>
            </w:pPr>
            <w:r>
              <w:t>Title</w:t>
            </w:r>
          </w:p>
        </w:tc>
        <w:tc>
          <w:tcPr>
            <w:tcW w:w="6946" w:type="dxa"/>
          </w:tcPr>
          <w:p w:rsidR="002E5E5A" w:rsidRDefault="002E5E5A" w:rsidP="00702A16">
            <w:pPr>
              <w:bidi w:val="0"/>
              <w:contextualSpacing/>
            </w:pPr>
            <w:r>
              <w:t>References</w:t>
            </w:r>
          </w:p>
        </w:tc>
      </w:tr>
      <w:tr w:rsidR="002E5E5A" w:rsidTr="008C0792">
        <w:tc>
          <w:tcPr>
            <w:tcW w:w="731" w:type="dxa"/>
          </w:tcPr>
          <w:p w:rsidR="0069557A" w:rsidRDefault="0024118A" w:rsidP="00702A16">
            <w:pPr>
              <w:tabs>
                <w:tab w:val="center" w:pos="257"/>
              </w:tabs>
              <w:bidi w:val="0"/>
              <w:contextualSpacing/>
              <w:jc w:val="center"/>
            </w:pPr>
            <w:r>
              <w:t>22/2</w:t>
            </w:r>
          </w:p>
        </w:tc>
        <w:tc>
          <w:tcPr>
            <w:tcW w:w="1645" w:type="dxa"/>
          </w:tcPr>
          <w:p w:rsidR="002E5E5A" w:rsidRDefault="002E5E5A" w:rsidP="00702A16">
            <w:pPr>
              <w:bidi w:val="0"/>
              <w:contextualSpacing/>
            </w:pPr>
            <w:r>
              <w:t>Introduction to Market Design</w:t>
            </w:r>
          </w:p>
        </w:tc>
        <w:tc>
          <w:tcPr>
            <w:tcW w:w="6946" w:type="dxa"/>
          </w:tcPr>
          <w:p w:rsidR="00702A16" w:rsidRPr="00702A16" w:rsidRDefault="00702A16" w:rsidP="00702A16">
            <w:pPr>
              <w:bidi w:val="0"/>
            </w:pPr>
            <w:r>
              <w:t xml:space="preserve">- </w:t>
            </w:r>
            <w:r w:rsidR="002E5E5A" w:rsidRPr="00335DA6">
              <w:t xml:space="preserve">Roth, A. E. (2002). </w:t>
            </w:r>
            <w:r w:rsidR="002E5E5A" w:rsidRPr="00702A16">
              <w:t xml:space="preserve">The economist as engineer: Game theory, experimentation, and computation as tools for design economics. </w:t>
            </w:r>
            <w:proofErr w:type="spellStart"/>
            <w:r w:rsidR="002E5E5A" w:rsidRPr="00702A16">
              <w:t>Econometrica</w:t>
            </w:r>
            <w:proofErr w:type="spellEnd"/>
            <w:r w:rsidR="002E5E5A" w:rsidRPr="00702A16">
              <w:t>, 1341-1378.</w:t>
            </w:r>
          </w:p>
          <w:p w:rsidR="002E5E5A" w:rsidRDefault="00702A16" w:rsidP="00702A16">
            <w:pPr>
              <w:bidi w:val="0"/>
            </w:pPr>
            <w:r w:rsidRPr="00702A16">
              <w:t xml:space="preserve">- </w:t>
            </w:r>
            <w:r w:rsidR="002E5E5A" w:rsidRPr="00702A16">
              <w:t>Roth, A. E. (2008). What Have</w:t>
            </w:r>
            <w:r w:rsidRPr="00702A16">
              <w:t xml:space="preserve"> We Learned from Market Design?</w:t>
            </w:r>
            <w:r w:rsidR="002E5E5A" w:rsidRPr="00702A16">
              <w:t xml:space="preserve"> The Economic Journal, 118(527), 285-310.</w:t>
            </w:r>
          </w:p>
        </w:tc>
      </w:tr>
      <w:tr w:rsidR="002E5E5A" w:rsidTr="008C0792">
        <w:tc>
          <w:tcPr>
            <w:tcW w:w="731" w:type="dxa"/>
          </w:tcPr>
          <w:p w:rsidR="002E5E5A" w:rsidRDefault="0024118A" w:rsidP="00702A16">
            <w:pPr>
              <w:bidi w:val="0"/>
              <w:contextualSpacing/>
              <w:jc w:val="center"/>
            </w:pPr>
            <w:r>
              <w:t>29/2</w:t>
            </w:r>
            <w:bookmarkStart w:id="0" w:name="_GoBack"/>
            <w:bookmarkEnd w:id="0"/>
          </w:p>
          <w:p w:rsidR="0069557A" w:rsidRDefault="0069557A" w:rsidP="00702A16">
            <w:pPr>
              <w:bidi w:val="0"/>
              <w:contextualSpacing/>
              <w:jc w:val="center"/>
            </w:pPr>
          </w:p>
        </w:tc>
        <w:tc>
          <w:tcPr>
            <w:tcW w:w="1645" w:type="dxa"/>
          </w:tcPr>
          <w:p w:rsidR="002E5E5A" w:rsidRDefault="002E5E5A" w:rsidP="00702A16">
            <w:pPr>
              <w:bidi w:val="0"/>
              <w:contextualSpacing/>
            </w:pPr>
            <w:r>
              <w:t>One-sided matching</w:t>
            </w:r>
          </w:p>
        </w:tc>
        <w:tc>
          <w:tcPr>
            <w:tcW w:w="6946" w:type="dxa"/>
          </w:tcPr>
          <w:p w:rsidR="00702A16" w:rsidRDefault="00702A16" w:rsidP="00702A16">
            <w:pPr>
              <w:bidi w:val="0"/>
              <w:contextualSpacing/>
            </w:pPr>
            <w:r>
              <w:t xml:space="preserve">- </w:t>
            </w:r>
            <w:r w:rsidR="002E5E5A" w:rsidRPr="00335DA6">
              <w:t xml:space="preserve">Shapley, L., &amp; Scarf, H. (1974). </w:t>
            </w:r>
            <w:r w:rsidR="002E5E5A" w:rsidRPr="00702A16">
              <w:t>On cores and indivisibility</w:t>
            </w:r>
            <w:r w:rsidR="002E5E5A" w:rsidRPr="00335DA6">
              <w:t>. Journal of mathematical economics, 1(1), 23-37.</w:t>
            </w:r>
          </w:p>
          <w:p w:rsidR="002E5E5A" w:rsidRDefault="00702A16" w:rsidP="00702A16">
            <w:pPr>
              <w:bidi w:val="0"/>
              <w:contextualSpacing/>
            </w:pPr>
            <w:r>
              <w:t xml:space="preserve">- </w:t>
            </w:r>
            <w:r w:rsidR="002E5E5A" w:rsidRPr="00335DA6">
              <w:t xml:space="preserve">Roth, A. E. (1982). </w:t>
            </w:r>
            <w:r w:rsidR="002E5E5A" w:rsidRPr="00702A16">
              <w:t>Incentive compatibility in a market with indivisible goods.</w:t>
            </w:r>
            <w:r w:rsidR="002E5E5A" w:rsidRPr="00335DA6">
              <w:t xml:space="preserve"> Economics letters, 9(2), 127-132.</w:t>
            </w:r>
          </w:p>
        </w:tc>
      </w:tr>
      <w:tr w:rsidR="002E5E5A" w:rsidTr="008C0792">
        <w:tc>
          <w:tcPr>
            <w:tcW w:w="731" w:type="dxa"/>
          </w:tcPr>
          <w:p w:rsidR="002E5E5A" w:rsidRDefault="0069557A" w:rsidP="00702A16">
            <w:pPr>
              <w:bidi w:val="0"/>
              <w:contextualSpacing/>
              <w:jc w:val="center"/>
            </w:pPr>
            <w:r>
              <w:t>7/3</w:t>
            </w:r>
          </w:p>
        </w:tc>
        <w:tc>
          <w:tcPr>
            <w:tcW w:w="1645" w:type="dxa"/>
          </w:tcPr>
          <w:p w:rsidR="002E5E5A" w:rsidRDefault="002E5E5A" w:rsidP="00702A16">
            <w:pPr>
              <w:bidi w:val="0"/>
              <w:contextualSpacing/>
            </w:pPr>
            <w:r>
              <w:t>Kidney exchange</w:t>
            </w:r>
          </w:p>
        </w:tc>
        <w:tc>
          <w:tcPr>
            <w:tcW w:w="6946" w:type="dxa"/>
          </w:tcPr>
          <w:p w:rsidR="00702A16" w:rsidRDefault="00702A16" w:rsidP="00702A16">
            <w:pPr>
              <w:bidi w:val="0"/>
              <w:contextualSpacing/>
            </w:pPr>
            <w:r w:rsidRPr="00702A16">
              <w:t>-</w:t>
            </w:r>
            <w:r>
              <w:rPr>
                <w:b/>
                <w:bCs/>
              </w:rPr>
              <w:t xml:space="preserve"> </w:t>
            </w:r>
            <w:r w:rsidR="002E5E5A" w:rsidRPr="009F5AC8">
              <w:rPr>
                <w:b/>
                <w:bCs/>
              </w:rPr>
              <w:t>* Required *</w:t>
            </w:r>
            <w:r w:rsidR="002E5E5A">
              <w:t xml:space="preserve"> </w:t>
            </w:r>
            <w:r w:rsidR="002E5E5A" w:rsidRPr="000142D3">
              <w:t>Roth, A. E. (2007). Repugnance as a Constraint on Markets. The Journal of Economic Perspectives, 21(3), 2.</w:t>
            </w:r>
          </w:p>
          <w:p w:rsidR="002E5E5A" w:rsidRDefault="00702A16" w:rsidP="00702A16">
            <w:pPr>
              <w:bidi w:val="0"/>
              <w:contextualSpacing/>
            </w:pPr>
            <w:r>
              <w:t xml:space="preserve">- </w:t>
            </w:r>
            <w:r w:rsidR="002E5E5A" w:rsidRPr="003A3E8D">
              <w:t xml:space="preserve">Roth, A. E., </w:t>
            </w:r>
            <w:proofErr w:type="spellStart"/>
            <w:r w:rsidR="002E5E5A" w:rsidRPr="003A3E8D">
              <w:t>Sönmez</w:t>
            </w:r>
            <w:proofErr w:type="spellEnd"/>
            <w:r w:rsidR="002E5E5A" w:rsidRPr="003A3E8D">
              <w:t xml:space="preserve">, T., &amp; </w:t>
            </w:r>
            <w:proofErr w:type="spellStart"/>
            <w:r w:rsidR="002E5E5A" w:rsidRPr="003A3E8D">
              <w:t>Ünver</w:t>
            </w:r>
            <w:proofErr w:type="spellEnd"/>
            <w:r w:rsidR="002E5E5A" w:rsidRPr="003A3E8D">
              <w:t>, M. U. (2005). Pairwise kidney exchange. Journal of Economic theory, 125(2), 151-188.</w:t>
            </w:r>
          </w:p>
          <w:p w:rsidR="002E5E5A" w:rsidRDefault="00702A16" w:rsidP="00CE1CD7">
            <w:pPr>
              <w:bidi w:val="0"/>
            </w:pPr>
            <w:r>
              <w:t xml:space="preserve">- </w:t>
            </w:r>
            <w:proofErr w:type="spellStart"/>
            <w:r w:rsidR="002E5E5A" w:rsidRPr="00192B62">
              <w:t>Ashlagi</w:t>
            </w:r>
            <w:proofErr w:type="spellEnd"/>
            <w:r w:rsidR="002E5E5A" w:rsidRPr="00192B62">
              <w:t>, I., &amp; Roth, A. (2011, June). Individual rationality and participation in large scale, multi-hospital kidney exchange. In Proceedings of the 12th ACM conference on Ele</w:t>
            </w:r>
            <w:r w:rsidR="00CE1CD7">
              <w:t>ctronic commerce (pp. 321-322).</w:t>
            </w:r>
          </w:p>
          <w:p w:rsidR="002E5E5A" w:rsidRDefault="00702A16" w:rsidP="008D1780">
            <w:pPr>
              <w:bidi w:val="0"/>
            </w:pPr>
            <w:r>
              <w:t xml:space="preserve">- </w:t>
            </w:r>
            <w:proofErr w:type="spellStart"/>
            <w:r w:rsidR="002E5E5A" w:rsidRPr="001E4092">
              <w:t>Ashlagi</w:t>
            </w:r>
            <w:proofErr w:type="spellEnd"/>
            <w:r w:rsidR="002E5E5A" w:rsidRPr="001E4092">
              <w:t xml:space="preserve">, I., </w:t>
            </w:r>
            <w:proofErr w:type="spellStart"/>
            <w:r w:rsidR="002E5E5A" w:rsidRPr="001E4092">
              <w:t>Gamarnik</w:t>
            </w:r>
            <w:proofErr w:type="spellEnd"/>
            <w:r w:rsidR="002E5E5A" w:rsidRPr="001E4092">
              <w:t>, D., Rees, M. A., &amp; Roth, A. E. (2012). The need for (long) chains in kidney exchange (</w:t>
            </w:r>
            <w:r w:rsidR="008D1780">
              <w:t>NBER No. w18202).</w:t>
            </w:r>
          </w:p>
        </w:tc>
      </w:tr>
      <w:tr w:rsidR="002E5E5A" w:rsidTr="008C0792">
        <w:tc>
          <w:tcPr>
            <w:tcW w:w="731" w:type="dxa"/>
          </w:tcPr>
          <w:p w:rsidR="002E5E5A" w:rsidRDefault="0069557A" w:rsidP="00702A16">
            <w:pPr>
              <w:bidi w:val="0"/>
              <w:contextualSpacing/>
              <w:jc w:val="center"/>
            </w:pPr>
            <w:r>
              <w:t>14/3</w:t>
            </w:r>
          </w:p>
        </w:tc>
        <w:tc>
          <w:tcPr>
            <w:tcW w:w="1645" w:type="dxa"/>
          </w:tcPr>
          <w:p w:rsidR="002E5E5A" w:rsidRDefault="002E5E5A" w:rsidP="00702A16">
            <w:pPr>
              <w:bidi w:val="0"/>
              <w:contextualSpacing/>
            </w:pPr>
            <w:r>
              <w:t>The assignment problem</w:t>
            </w:r>
          </w:p>
        </w:tc>
        <w:tc>
          <w:tcPr>
            <w:tcW w:w="6946" w:type="dxa"/>
          </w:tcPr>
          <w:p w:rsidR="00702A16" w:rsidRDefault="00702A16" w:rsidP="00702A16">
            <w:pPr>
              <w:bidi w:val="0"/>
              <w:contextualSpacing/>
            </w:pPr>
            <w:r>
              <w:t xml:space="preserve">- </w:t>
            </w:r>
            <w:proofErr w:type="spellStart"/>
            <w:r w:rsidR="002E5E5A" w:rsidRPr="00120A1A">
              <w:t>Abdulkadiroğlu</w:t>
            </w:r>
            <w:proofErr w:type="spellEnd"/>
            <w:r w:rsidR="002E5E5A" w:rsidRPr="00120A1A">
              <w:t xml:space="preserve">, A., &amp; </w:t>
            </w:r>
            <w:proofErr w:type="spellStart"/>
            <w:r w:rsidR="002E5E5A" w:rsidRPr="00120A1A">
              <w:t>Sönmez</w:t>
            </w:r>
            <w:proofErr w:type="spellEnd"/>
            <w:r w:rsidR="002E5E5A" w:rsidRPr="00120A1A">
              <w:t xml:space="preserve">, T. (1998). Random serial dictatorship and the core from random endowments in house allocation </w:t>
            </w:r>
            <w:r>
              <w:t xml:space="preserve">problems. </w:t>
            </w:r>
            <w:proofErr w:type="spellStart"/>
            <w:r>
              <w:t>Econometrica</w:t>
            </w:r>
            <w:proofErr w:type="spellEnd"/>
            <w:r>
              <w:t>, 689-701.</w:t>
            </w:r>
          </w:p>
          <w:p w:rsidR="002E5E5A" w:rsidRDefault="00702A16" w:rsidP="00702A16">
            <w:pPr>
              <w:bidi w:val="0"/>
              <w:contextualSpacing/>
            </w:pPr>
            <w:r>
              <w:t xml:space="preserve">- </w:t>
            </w:r>
            <w:proofErr w:type="spellStart"/>
            <w:r w:rsidR="002E5E5A" w:rsidRPr="00335DA6">
              <w:t>Hylland</w:t>
            </w:r>
            <w:proofErr w:type="spellEnd"/>
            <w:r w:rsidR="002E5E5A" w:rsidRPr="00335DA6">
              <w:t xml:space="preserve">, A., &amp; </w:t>
            </w:r>
            <w:proofErr w:type="spellStart"/>
            <w:r w:rsidR="002E5E5A" w:rsidRPr="00335DA6">
              <w:t>Zeckhauser</w:t>
            </w:r>
            <w:proofErr w:type="spellEnd"/>
            <w:r w:rsidR="002E5E5A" w:rsidRPr="00335DA6">
              <w:t>, R. (1979). The efficient allocation of individuals to positions. The Journa</w:t>
            </w:r>
            <w:r w:rsidR="002E5E5A">
              <w:t>l of Political Economy, 293-314.</w:t>
            </w:r>
          </w:p>
          <w:p w:rsidR="002E5E5A" w:rsidRDefault="00702A16" w:rsidP="00702A16">
            <w:pPr>
              <w:bidi w:val="0"/>
            </w:pPr>
            <w:r>
              <w:t xml:space="preserve">- </w:t>
            </w:r>
            <w:proofErr w:type="spellStart"/>
            <w:r w:rsidR="002E5E5A" w:rsidRPr="00321A33">
              <w:t>Bogomolnaia</w:t>
            </w:r>
            <w:proofErr w:type="spellEnd"/>
            <w:r w:rsidR="002E5E5A" w:rsidRPr="00321A33">
              <w:t>, A., &amp; Moulin, H. (2001). A new solution to the random assignment problem. Journal of Economic Theory, 100(2), 295-328.</w:t>
            </w:r>
          </w:p>
          <w:p w:rsidR="002E5E5A" w:rsidRDefault="00702A16" w:rsidP="00702A16">
            <w:pPr>
              <w:bidi w:val="0"/>
            </w:pPr>
            <w:r>
              <w:t xml:space="preserve">- </w:t>
            </w:r>
            <w:r w:rsidR="002E5E5A" w:rsidRPr="00321A33">
              <w:t xml:space="preserve">Kojima, F., &amp; </w:t>
            </w:r>
            <w:proofErr w:type="spellStart"/>
            <w:r w:rsidR="002E5E5A" w:rsidRPr="00321A33">
              <w:t>Manea</w:t>
            </w:r>
            <w:proofErr w:type="spellEnd"/>
            <w:r w:rsidR="002E5E5A" w:rsidRPr="00321A33">
              <w:t>, M. (2010). Incentives in the probabilistic serial mechanism. Journal of Economic Theory, 145(1), 106-123.</w:t>
            </w:r>
          </w:p>
          <w:p w:rsidR="002E5E5A" w:rsidRDefault="00702A16" w:rsidP="00702A16">
            <w:pPr>
              <w:bidi w:val="0"/>
            </w:pPr>
            <w:r>
              <w:t xml:space="preserve">- </w:t>
            </w:r>
            <w:proofErr w:type="spellStart"/>
            <w:r w:rsidR="002E5E5A" w:rsidRPr="00321A33">
              <w:t>Che</w:t>
            </w:r>
            <w:proofErr w:type="spellEnd"/>
            <w:r w:rsidR="002E5E5A" w:rsidRPr="00321A33">
              <w:t xml:space="preserve">, Y. K., &amp; Kojima, F. (2010). Asymptotic equivalence of probabilistic serial and random priority mechanisms. </w:t>
            </w:r>
            <w:proofErr w:type="spellStart"/>
            <w:r w:rsidR="002E5E5A" w:rsidRPr="00321A33">
              <w:t>Econometrica</w:t>
            </w:r>
            <w:proofErr w:type="spellEnd"/>
            <w:r w:rsidR="002E5E5A" w:rsidRPr="00321A33">
              <w:t>, 78(5), 1625-1672.</w:t>
            </w:r>
          </w:p>
          <w:p w:rsidR="002E5E5A" w:rsidRDefault="00702A16" w:rsidP="008213AB">
            <w:pPr>
              <w:bidi w:val="0"/>
            </w:pPr>
            <w:r>
              <w:t xml:space="preserve">- </w:t>
            </w:r>
            <w:r w:rsidR="002E5E5A" w:rsidRPr="00443170">
              <w:t xml:space="preserve">Liu, Q., &amp; </w:t>
            </w:r>
            <w:proofErr w:type="spellStart"/>
            <w:r w:rsidR="002E5E5A" w:rsidRPr="00443170">
              <w:t>Pycia</w:t>
            </w:r>
            <w:proofErr w:type="spellEnd"/>
            <w:r w:rsidR="002E5E5A" w:rsidRPr="00443170">
              <w:t>, M. (2013). Ordinal efficiency, fairness, and incentives in large markets. Fairness, and Incentives in Large Markets (</w:t>
            </w:r>
            <w:r w:rsidR="007C566D">
              <w:t>Working paper</w:t>
            </w:r>
            <w:r w:rsidR="002E5E5A" w:rsidRPr="00443170">
              <w:t>).</w:t>
            </w:r>
          </w:p>
        </w:tc>
      </w:tr>
      <w:tr w:rsidR="002E5E5A" w:rsidTr="008C0792">
        <w:tc>
          <w:tcPr>
            <w:tcW w:w="731" w:type="dxa"/>
          </w:tcPr>
          <w:p w:rsidR="002E5E5A" w:rsidRDefault="0069557A" w:rsidP="00702A16">
            <w:pPr>
              <w:bidi w:val="0"/>
              <w:contextualSpacing/>
              <w:jc w:val="center"/>
            </w:pPr>
            <w:r>
              <w:t>21/3</w:t>
            </w:r>
          </w:p>
        </w:tc>
        <w:tc>
          <w:tcPr>
            <w:tcW w:w="1645" w:type="dxa"/>
          </w:tcPr>
          <w:p w:rsidR="002E5E5A" w:rsidRDefault="002E5E5A" w:rsidP="00702A16">
            <w:pPr>
              <w:bidi w:val="0"/>
              <w:contextualSpacing/>
            </w:pPr>
            <w:r>
              <w:t>The Israeli medical match</w:t>
            </w:r>
          </w:p>
        </w:tc>
        <w:tc>
          <w:tcPr>
            <w:tcW w:w="6946" w:type="dxa"/>
          </w:tcPr>
          <w:p w:rsidR="002E5E5A" w:rsidRDefault="00702A16" w:rsidP="00702A16">
            <w:pPr>
              <w:bidi w:val="0"/>
              <w:contextualSpacing/>
            </w:pPr>
            <w:r>
              <w:t xml:space="preserve">- </w:t>
            </w:r>
            <w:proofErr w:type="spellStart"/>
            <w:r w:rsidR="002E5E5A" w:rsidRPr="00830C05">
              <w:t>Budish</w:t>
            </w:r>
            <w:proofErr w:type="spellEnd"/>
            <w:r w:rsidR="002E5E5A" w:rsidRPr="00830C05">
              <w:t>, E. (2011). The combinatorial assignment problem: Approximate competitive equilibrium from equal incomes. Journal of Political Economy, 119(6), 1061-1103.</w:t>
            </w:r>
          </w:p>
          <w:p w:rsidR="002E5E5A" w:rsidRDefault="00702A16" w:rsidP="00702A16">
            <w:pPr>
              <w:bidi w:val="0"/>
            </w:pPr>
            <w:r>
              <w:t xml:space="preserve">- </w:t>
            </w:r>
            <w:proofErr w:type="spellStart"/>
            <w:r w:rsidR="002E5E5A" w:rsidRPr="003B0BF0">
              <w:t>Budish</w:t>
            </w:r>
            <w:proofErr w:type="spellEnd"/>
            <w:r w:rsidR="002E5E5A" w:rsidRPr="003B0BF0">
              <w:t xml:space="preserve">, E., </w:t>
            </w:r>
            <w:proofErr w:type="spellStart"/>
            <w:r w:rsidR="002E5E5A" w:rsidRPr="003B0BF0">
              <w:t>Che</w:t>
            </w:r>
            <w:proofErr w:type="spellEnd"/>
            <w:r w:rsidR="002E5E5A" w:rsidRPr="003B0BF0">
              <w:t xml:space="preserve">, Y. K., Kojima, F., &amp; </w:t>
            </w:r>
            <w:proofErr w:type="spellStart"/>
            <w:r w:rsidR="002E5E5A" w:rsidRPr="003B0BF0">
              <w:t>Milgrom</w:t>
            </w:r>
            <w:proofErr w:type="spellEnd"/>
            <w:r w:rsidR="002E5E5A" w:rsidRPr="003B0BF0">
              <w:t>, P. (2013). Designing random allocation mechanisms: Theory and applications. The American Economic Review, 103(2), 585-623.</w:t>
            </w:r>
          </w:p>
          <w:p w:rsidR="002E5E5A" w:rsidRDefault="00702A16" w:rsidP="00702A16">
            <w:pPr>
              <w:bidi w:val="0"/>
            </w:pPr>
            <w:r>
              <w:t xml:space="preserve">- </w:t>
            </w:r>
            <w:r w:rsidR="002E5E5A" w:rsidRPr="00A07213">
              <w:t xml:space="preserve">Nguyen, T., </w:t>
            </w:r>
            <w:proofErr w:type="spellStart"/>
            <w:r w:rsidR="002E5E5A" w:rsidRPr="00A07213">
              <w:t>Peivandi</w:t>
            </w:r>
            <w:proofErr w:type="spellEnd"/>
            <w:r w:rsidR="002E5E5A" w:rsidRPr="00A07213">
              <w:t>, A., &amp; Vohra, R. (2015). Assignment Problems with Complementarities</w:t>
            </w:r>
            <w:r w:rsidR="002C2E81">
              <w:t xml:space="preserve"> (Working paper)</w:t>
            </w:r>
            <w:r w:rsidR="002E5E5A" w:rsidRPr="00A07213">
              <w:t>.</w:t>
            </w:r>
          </w:p>
          <w:p w:rsidR="002E5E5A" w:rsidRDefault="00702A16" w:rsidP="00702A16">
            <w:pPr>
              <w:bidi w:val="0"/>
            </w:pPr>
            <w:r>
              <w:t xml:space="preserve">- </w:t>
            </w:r>
            <w:r w:rsidR="002E5E5A" w:rsidRPr="00DF2561">
              <w:t xml:space="preserve">Bronfman, S., Hassidim, A., </w:t>
            </w:r>
            <w:proofErr w:type="spellStart"/>
            <w:r w:rsidR="002E5E5A" w:rsidRPr="00DF2561">
              <w:t>Afek</w:t>
            </w:r>
            <w:proofErr w:type="spellEnd"/>
            <w:r w:rsidR="002E5E5A" w:rsidRPr="00DF2561">
              <w:t xml:space="preserve">, A., </w:t>
            </w:r>
            <w:proofErr w:type="spellStart"/>
            <w:r w:rsidR="002E5E5A" w:rsidRPr="00DF2561">
              <w:t>Romm</w:t>
            </w:r>
            <w:proofErr w:type="spellEnd"/>
            <w:r w:rsidR="002E5E5A" w:rsidRPr="00DF2561">
              <w:t xml:space="preserve">, A., </w:t>
            </w:r>
            <w:proofErr w:type="spellStart"/>
            <w:r w:rsidR="002E5E5A" w:rsidRPr="00DF2561">
              <w:t>Sherberk</w:t>
            </w:r>
            <w:proofErr w:type="spellEnd"/>
            <w:r w:rsidR="002E5E5A" w:rsidRPr="00DF2561">
              <w:t xml:space="preserve">, R., Hassidim, A., &amp; </w:t>
            </w:r>
            <w:proofErr w:type="spellStart"/>
            <w:r w:rsidR="002E5E5A" w:rsidRPr="00DF2561">
              <w:t>Massler</w:t>
            </w:r>
            <w:proofErr w:type="spellEnd"/>
            <w:r w:rsidR="002E5E5A" w:rsidRPr="00DF2561">
              <w:t xml:space="preserve">, A. (2015). Assigning Israeli medical graduates to internships. </w:t>
            </w:r>
            <w:proofErr w:type="spellStart"/>
            <w:r w:rsidR="002E5E5A" w:rsidRPr="00DF2561">
              <w:t>Isr</w:t>
            </w:r>
            <w:proofErr w:type="spellEnd"/>
            <w:r w:rsidR="002E5E5A" w:rsidRPr="00DF2561">
              <w:t xml:space="preserve"> J Health Policy Res, 4(6).</w:t>
            </w:r>
          </w:p>
          <w:p w:rsidR="002E5E5A" w:rsidRDefault="00702A16" w:rsidP="003001B8">
            <w:pPr>
              <w:bidi w:val="0"/>
            </w:pPr>
            <w:r>
              <w:t xml:space="preserve">- </w:t>
            </w:r>
            <w:proofErr w:type="spellStart"/>
            <w:r w:rsidR="002E5E5A" w:rsidRPr="00DF2561">
              <w:t>Alon</w:t>
            </w:r>
            <w:proofErr w:type="spellEnd"/>
            <w:r w:rsidR="002E5E5A" w:rsidRPr="00DF2561">
              <w:t xml:space="preserve">, N., Bronfman, S., Hassidim, A., &amp; </w:t>
            </w:r>
            <w:proofErr w:type="spellStart"/>
            <w:r w:rsidR="002E5E5A" w:rsidRPr="00DF2561">
              <w:t>Romm</w:t>
            </w:r>
            <w:proofErr w:type="spellEnd"/>
            <w:r w:rsidR="002E5E5A" w:rsidRPr="00DF2561">
              <w:t>, A. (2015). Redesigning the Israeli Medical Internship Match</w:t>
            </w:r>
            <w:r w:rsidR="003001B8">
              <w:t xml:space="preserve"> (Working paper).</w:t>
            </w:r>
          </w:p>
        </w:tc>
      </w:tr>
      <w:tr w:rsidR="002E5E5A" w:rsidTr="008C0792">
        <w:tc>
          <w:tcPr>
            <w:tcW w:w="731" w:type="dxa"/>
          </w:tcPr>
          <w:p w:rsidR="002E5E5A" w:rsidRDefault="0069557A" w:rsidP="00702A16">
            <w:pPr>
              <w:bidi w:val="0"/>
              <w:contextualSpacing/>
              <w:jc w:val="center"/>
            </w:pPr>
            <w:r>
              <w:t>28/3</w:t>
            </w:r>
          </w:p>
        </w:tc>
        <w:tc>
          <w:tcPr>
            <w:tcW w:w="1645" w:type="dxa"/>
          </w:tcPr>
          <w:p w:rsidR="002E5E5A" w:rsidRDefault="002E5E5A" w:rsidP="00702A16">
            <w:pPr>
              <w:bidi w:val="0"/>
              <w:contextualSpacing/>
            </w:pPr>
            <w:r>
              <w:t>Stability in two-sided matching markets</w:t>
            </w:r>
          </w:p>
        </w:tc>
        <w:tc>
          <w:tcPr>
            <w:tcW w:w="6946" w:type="dxa"/>
          </w:tcPr>
          <w:p w:rsidR="002E5E5A" w:rsidRDefault="00702A16" w:rsidP="00702A16">
            <w:pPr>
              <w:bidi w:val="0"/>
              <w:contextualSpacing/>
            </w:pPr>
            <w:r w:rsidRPr="00702A16">
              <w:t xml:space="preserve">- </w:t>
            </w:r>
            <w:r w:rsidR="002E5E5A" w:rsidRPr="009F5AC8">
              <w:rPr>
                <w:b/>
                <w:bCs/>
              </w:rPr>
              <w:t>* Required *</w:t>
            </w:r>
            <w:r w:rsidR="002E5E5A">
              <w:t xml:space="preserve"> </w:t>
            </w:r>
            <w:r w:rsidR="002E5E5A" w:rsidRPr="00EF5C30">
              <w:t>Gale, D., &amp; Shapley, L. S. (1962). College admissions and the stability of marriage. American mathematical monthly, 9-15.</w:t>
            </w:r>
          </w:p>
          <w:p w:rsidR="002E5E5A" w:rsidRDefault="00702A16" w:rsidP="00702A16">
            <w:pPr>
              <w:bidi w:val="0"/>
            </w:pPr>
            <w:r>
              <w:t xml:space="preserve">- </w:t>
            </w:r>
            <w:r w:rsidR="002E5E5A">
              <w:t>R</w:t>
            </w:r>
            <w:r w:rsidR="008B297A">
              <w:t>oth and Sotomayor</w:t>
            </w:r>
            <w:r w:rsidR="002E5E5A">
              <w:t>, chapters 2-3, 5.</w:t>
            </w:r>
          </w:p>
          <w:p w:rsidR="002E5E5A" w:rsidRDefault="00702A16" w:rsidP="00702A16">
            <w:pPr>
              <w:bidi w:val="0"/>
            </w:pPr>
            <w:r>
              <w:t xml:space="preserve">- </w:t>
            </w:r>
            <w:r w:rsidR="002E5E5A" w:rsidRPr="00EF5C30">
              <w:t xml:space="preserve">Roth, A. E. (1984). The evolution of the labor market for medical interns </w:t>
            </w:r>
            <w:r w:rsidR="002E5E5A" w:rsidRPr="00EF5C30">
              <w:lastRenderedPageBreak/>
              <w:t>and residents: a case study in game theory. The Journal of Political Economy, 991-1016.</w:t>
            </w:r>
          </w:p>
        </w:tc>
      </w:tr>
      <w:tr w:rsidR="008C0792" w:rsidTr="008C0792">
        <w:tc>
          <w:tcPr>
            <w:tcW w:w="731" w:type="dxa"/>
          </w:tcPr>
          <w:p w:rsidR="002E5E5A" w:rsidRDefault="0069557A" w:rsidP="00702A16">
            <w:pPr>
              <w:bidi w:val="0"/>
              <w:contextualSpacing/>
              <w:jc w:val="center"/>
            </w:pPr>
            <w:r>
              <w:lastRenderedPageBreak/>
              <w:t>4/4</w:t>
            </w:r>
          </w:p>
        </w:tc>
        <w:tc>
          <w:tcPr>
            <w:tcW w:w="1645" w:type="dxa"/>
          </w:tcPr>
          <w:p w:rsidR="002E5E5A" w:rsidRDefault="002E5E5A" w:rsidP="00702A16">
            <w:pPr>
              <w:bidi w:val="0"/>
              <w:contextualSpacing/>
            </w:pPr>
            <w:r>
              <w:t xml:space="preserve">Incentives </w:t>
            </w:r>
            <w:r w:rsidR="004F61AF">
              <w:t>and rank distribution under Def</w:t>
            </w:r>
            <w:r>
              <w:t>er</w:t>
            </w:r>
            <w:r w:rsidR="004F61AF">
              <w:t>r</w:t>
            </w:r>
            <w:r>
              <w:t>ed Acceptance</w:t>
            </w:r>
          </w:p>
        </w:tc>
        <w:tc>
          <w:tcPr>
            <w:tcW w:w="6946" w:type="dxa"/>
          </w:tcPr>
          <w:p w:rsidR="004F61AF" w:rsidRDefault="00702A16" w:rsidP="00702A16">
            <w:pPr>
              <w:bidi w:val="0"/>
            </w:pPr>
            <w:r>
              <w:t xml:space="preserve">- </w:t>
            </w:r>
            <w:r w:rsidR="004F61AF">
              <w:t>Roth and Sotomayor, chapter 4.</w:t>
            </w:r>
          </w:p>
          <w:p w:rsidR="004F61AF" w:rsidRDefault="00702A16" w:rsidP="00702A16">
            <w:pPr>
              <w:bidi w:val="0"/>
            </w:pPr>
            <w:r>
              <w:t xml:space="preserve">- </w:t>
            </w:r>
            <w:r w:rsidR="004F61AF" w:rsidRPr="003024E6">
              <w:t xml:space="preserve">Roth, A. E. (1986). On the allocation of residents to rural hospitals: a general property of two-sided matching markets. </w:t>
            </w:r>
            <w:proofErr w:type="spellStart"/>
            <w:r>
              <w:t>Econometrica</w:t>
            </w:r>
            <w:proofErr w:type="spellEnd"/>
            <w:r w:rsidR="004F61AF" w:rsidRPr="003024E6">
              <w:t>, 425-427.</w:t>
            </w:r>
          </w:p>
          <w:p w:rsidR="008B297A" w:rsidRDefault="00702A16" w:rsidP="008B297A">
            <w:pPr>
              <w:bidi w:val="0"/>
            </w:pPr>
            <w:r>
              <w:t xml:space="preserve">- </w:t>
            </w:r>
            <w:proofErr w:type="spellStart"/>
            <w:r w:rsidR="004F61AF" w:rsidRPr="00A526FD">
              <w:t>Immorlica</w:t>
            </w:r>
            <w:proofErr w:type="spellEnd"/>
            <w:r w:rsidR="004F61AF" w:rsidRPr="00A526FD">
              <w:t xml:space="preserve">, N., &amp; </w:t>
            </w:r>
            <w:proofErr w:type="spellStart"/>
            <w:r w:rsidR="004F61AF" w:rsidRPr="00A526FD">
              <w:t>Mahdian</w:t>
            </w:r>
            <w:proofErr w:type="spellEnd"/>
            <w:r w:rsidR="004F61AF" w:rsidRPr="00A526FD">
              <w:t xml:space="preserve">, M. (2005, January). Marriage, honesty, and stability. In Proceedings of the sixteenth annual ACM-SIAM symposium on Discrete algorithms (pp. 53-62). </w:t>
            </w:r>
          </w:p>
          <w:p w:rsidR="004F61AF" w:rsidRDefault="008B297A" w:rsidP="008B297A">
            <w:pPr>
              <w:bidi w:val="0"/>
            </w:pPr>
            <w:r>
              <w:t xml:space="preserve">- </w:t>
            </w:r>
            <w:r w:rsidR="004F61AF" w:rsidRPr="004A04A0">
              <w:t>Kojima, F., &amp; Pathak, P. A. (2009). Incentives and stability in large two-sided matching markets. The American Economic Review, 608-627.</w:t>
            </w:r>
          </w:p>
          <w:p w:rsidR="004F61AF" w:rsidRDefault="008B297A" w:rsidP="00702A16">
            <w:pPr>
              <w:bidi w:val="0"/>
            </w:pPr>
            <w:r>
              <w:t xml:space="preserve">- </w:t>
            </w:r>
            <w:r w:rsidR="004F61AF" w:rsidRPr="00F7061B">
              <w:t>Lee, S. (2011). Incentive compatibility of large centralized m</w:t>
            </w:r>
            <w:r>
              <w:t>atching markets. (Working paper).</w:t>
            </w:r>
          </w:p>
          <w:p w:rsidR="004F61AF" w:rsidRDefault="00CC069A" w:rsidP="00305F3A">
            <w:pPr>
              <w:bidi w:val="0"/>
            </w:pPr>
            <w:r>
              <w:t xml:space="preserve">- </w:t>
            </w:r>
            <w:proofErr w:type="spellStart"/>
            <w:r w:rsidR="004F61AF" w:rsidRPr="006A27F6">
              <w:t>Ashlagi</w:t>
            </w:r>
            <w:proofErr w:type="spellEnd"/>
            <w:r w:rsidR="004F61AF" w:rsidRPr="006A27F6">
              <w:t xml:space="preserve">, I., </w:t>
            </w:r>
            <w:proofErr w:type="spellStart"/>
            <w:r w:rsidR="004F61AF" w:rsidRPr="006A27F6">
              <w:t>Kanoria</w:t>
            </w:r>
            <w:proofErr w:type="spellEnd"/>
            <w:r w:rsidR="004F61AF" w:rsidRPr="006A27F6">
              <w:t xml:space="preserve">, Y., &amp; </w:t>
            </w:r>
            <w:proofErr w:type="spellStart"/>
            <w:r w:rsidR="004F61AF" w:rsidRPr="006A27F6">
              <w:t>Leshno</w:t>
            </w:r>
            <w:proofErr w:type="spellEnd"/>
            <w:r w:rsidR="004F61AF" w:rsidRPr="006A27F6">
              <w:t xml:space="preserve">, J. D. (2014). Unbalanced random matching markets: The stark effect of competition. </w:t>
            </w:r>
            <w:r w:rsidR="00305F3A">
              <w:t>(Working paper).</w:t>
            </w:r>
          </w:p>
          <w:p w:rsidR="004F61AF" w:rsidRDefault="00CC069A" w:rsidP="00702A16">
            <w:pPr>
              <w:bidi w:val="0"/>
            </w:pPr>
            <w:r>
              <w:t xml:space="preserve">- </w:t>
            </w:r>
            <w:proofErr w:type="spellStart"/>
            <w:r w:rsidR="004F61AF" w:rsidRPr="006A27F6">
              <w:t>Azevedo</w:t>
            </w:r>
            <w:proofErr w:type="spellEnd"/>
            <w:r w:rsidR="004F61AF" w:rsidRPr="006A27F6">
              <w:t xml:space="preserve">, E. M., &amp; </w:t>
            </w:r>
            <w:proofErr w:type="spellStart"/>
            <w:r w:rsidR="004F61AF" w:rsidRPr="006A27F6">
              <w:t>Leshno</w:t>
            </w:r>
            <w:proofErr w:type="spellEnd"/>
            <w:r w:rsidR="004F61AF" w:rsidRPr="006A27F6">
              <w:t>, J. D. (2014). A supply and demand framework for two-sided matching markets. Available at SSRN 2260567.</w:t>
            </w:r>
          </w:p>
          <w:p w:rsidR="004F61AF" w:rsidRDefault="000615C6" w:rsidP="00702A16">
            <w:pPr>
              <w:bidi w:val="0"/>
            </w:pPr>
            <w:r>
              <w:t xml:space="preserve">- </w:t>
            </w:r>
            <w:proofErr w:type="spellStart"/>
            <w:r w:rsidR="004F61AF" w:rsidRPr="002329C3">
              <w:t>Azevedo</w:t>
            </w:r>
            <w:proofErr w:type="spellEnd"/>
            <w:r w:rsidR="004F61AF" w:rsidRPr="002329C3">
              <w:t xml:space="preserve">, E. M., &amp; </w:t>
            </w:r>
            <w:proofErr w:type="spellStart"/>
            <w:r w:rsidR="004F61AF" w:rsidRPr="002329C3">
              <w:t>Budish</w:t>
            </w:r>
            <w:proofErr w:type="spellEnd"/>
            <w:r w:rsidR="004F61AF" w:rsidRPr="002329C3">
              <w:t>, E. B. (2013). Strategy-proofness in the large. Chicago Booth Research Paper, (13-35).</w:t>
            </w:r>
          </w:p>
          <w:p w:rsidR="002E5E5A" w:rsidRDefault="008D099F" w:rsidP="00702A16">
            <w:pPr>
              <w:bidi w:val="0"/>
            </w:pPr>
            <w:r>
              <w:t xml:space="preserve">- </w:t>
            </w:r>
            <w:r w:rsidR="004F61AF" w:rsidRPr="004A04A0">
              <w:t xml:space="preserve">Roth, A. E., &amp; </w:t>
            </w:r>
            <w:proofErr w:type="spellStart"/>
            <w:r w:rsidR="004F61AF" w:rsidRPr="004A04A0">
              <w:t>Peranson</w:t>
            </w:r>
            <w:proofErr w:type="spellEnd"/>
            <w:r w:rsidR="004F61AF" w:rsidRPr="004A04A0">
              <w:t>, E. (1999). The Redesign of the Matching Market for American Physicians: Some Engineering Aspects of Economic D. American economic review, 89(4), 748-782.</w:t>
            </w:r>
          </w:p>
        </w:tc>
      </w:tr>
      <w:tr w:rsidR="008C0792" w:rsidTr="008C0792">
        <w:tc>
          <w:tcPr>
            <w:tcW w:w="731" w:type="dxa"/>
          </w:tcPr>
          <w:p w:rsidR="002E5E5A" w:rsidRDefault="0069557A" w:rsidP="00702A16">
            <w:pPr>
              <w:bidi w:val="0"/>
              <w:contextualSpacing/>
              <w:jc w:val="center"/>
            </w:pPr>
            <w:r>
              <w:t>11/4</w:t>
            </w:r>
          </w:p>
        </w:tc>
        <w:tc>
          <w:tcPr>
            <w:tcW w:w="1645" w:type="dxa"/>
          </w:tcPr>
          <w:p w:rsidR="002E5E5A" w:rsidRDefault="004F61AF" w:rsidP="00702A16">
            <w:pPr>
              <w:bidi w:val="0"/>
              <w:contextualSpacing/>
            </w:pPr>
            <w:r>
              <w:t>The Israeli Psychology match</w:t>
            </w:r>
          </w:p>
        </w:tc>
        <w:tc>
          <w:tcPr>
            <w:tcW w:w="6946" w:type="dxa"/>
          </w:tcPr>
          <w:p w:rsidR="004F61AF" w:rsidRDefault="008D099F" w:rsidP="00702A16">
            <w:pPr>
              <w:bidi w:val="0"/>
              <w:contextualSpacing/>
            </w:pPr>
            <w:r>
              <w:t xml:space="preserve">- </w:t>
            </w:r>
            <w:r w:rsidR="004F61AF" w:rsidRPr="00AF0550">
              <w:t>Roth, A. E., &amp; Xing, X. (1997). Turnaround time and bottlenecks in market clearing: Decentralized matching in the market for clinical psychologists. Journal of political Economy, 105(2), 284-329.</w:t>
            </w:r>
          </w:p>
          <w:p w:rsidR="004F61AF" w:rsidRDefault="008D099F" w:rsidP="00702A16">
            <w:pPr>
              <w:bidi w:val="0"/>
            </w:pPr>
            <w:r>
              <w:t xml:space="preserve">- </w:t>
            </w:r>
            <w:r w:rsidR="004F61AF" w:rsidRPr="00A66421">
              <w:t>Avery, C., &amp; Levin, J. (2010). Early Admissions at Selective Colleges. The American Economic Review, 100(5), 2125-2156.</w:t>
            </w:r>
          </w:p>
          <w:p w:rsidR="004F61AF" w:rsidRDefault="008D099F" w:rsidP="00702A16">
            <w:pPr>
              <w:bidi w:val="0"/>
            </w:pPr>
            <w:r>
              <w:t xml:space="preserve">- </w:t>
            </w:r>
            <w:proofErr w:type="spellStart"/>
            <w:r w:rsidR="004F61AF" w:rsidRPr="00152DEB">
              <w:t>Sönmez</w:t>
            </w:r>
            <w:proofErr w:type="spellEnd"/>
            <w:r w:rsidR="004F61AF" w:rsidRPr="00152DEB">
              <w:t>, T. (1999). Can pre-arranged matches be avoided in two-sided matching markets</w:t>
            </w:r>
            <w:proofErr w:type="gramStart"/>
            <w:r w:rsidR="004F61AF" w:rsidRPr="00152DEB">
              <w:t>?.</w:t>
            </w:r>
            <w:proofErr w:type="gramEnd"/>
            <w:r w:rsidR="004F61AF" w:rsidRPr="00152DEB">
              <w:t xml:space="preserve"> Journal of Economic Theory, 86(1), 148-156.</w:t>
            </w:r>
          </w:p>
          <w:p w:rsidR="004F61AF" w:rsidRDefault="008D099F" w:rsidP="00702A16">
            <w:pPr>
              <w:bidi w:val="0"/>
            </w:pPr>
            <w:r>
              <w:t xml:space="preserve">- </w:t>
            </w:r>
            <w:r w:rsidR="004F61AF" w:rsidRPr="004A04A0">
              <w:t>Kojima, F., Pathak, P. A., &amp; Roth, A. E. (2013). Matching with Couples: Stability and Incentives in Large Markets*. The Quarterly Journal of Economics, 128(4), 1585-1632.</w:t>
            </w:r>
          </w:p>
          <w:p w:rsidR="002E5E5A" w:rsidRDefault="008D099F" w:rsidP="00702A16">
            <w:pPr>
              <w:bidi w:val="0"/>
            </w:pPr>
            <w:r>
              <w:t xml:space="preserve">- </w:t>
            </w:r>
            <w:proofErr w:type="spellStart"/>
            <w:r w:rsidR="004F61AF" w:rsidRPr="004A04A0">
              <w:t>Ashlagi</w:t>
            </w:r>
            <w:proofErr w:type="spellEnd"/>
            <w:r w:rsidR="004F61AF" w:rsidRPr="004A04A0">
              <w:t xml:space="preserve">, I., </w:t>
            </w:r>
            <w:proofErr w:type="spellStart"/>
            <w:r w:rsidR="004F61AF" w:rsidRPr="004A04A0">
              <w:t>Braverman</w:t>
            </w:r>
            <w:proofErr w:type="spellEnd"/>
            <w:r w:rsidR="004F61AF" w:rsidRPr="004A04A0">
              <w:t>, M., &amp; Hassidim, A. (2014). Stability in large matching markets with complementarities. Operations Research, 62(4), 713-732.</w:t>
            </w:r>
          </w:p>
        </w:tc>
      </w:tr>
      <w:tr w:rsidR="008C0792" w:rsidTr="00DC2720">
        <w:tc>
          <w:tcPr>
            <w:tcW w:w="9322" w:type="dxa"/>
            <w:gridSpan w:val="3"/>
          </w:tcPr>
          <w:p w:rsidR="008C0792" w:rsidRPr="008C0792" w:rsidRDefault="008C0792" w:rsidP="00702A16">
            <w:pPr>
              <w:bidi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Note: Research idea for final paper is due before next class.</w:t>
            </w:r>
          </w:p>
        </w:tc>
      </w:tr>
      <w:tr w:rsidR="008C0792" w:rsidTr="008C0792">
        <w:tc>
          <w:tcPr>
            <w:tcW w:w="731" w:type="dxa"/>
          </w:tcPr>
          <w:p w:rsidR="002E5E5A" w:rsidRDefault="00575C45" w:rsidP="00702A16">
            <w:pPr>
              <w:bidi w:val="0"/>
              <w:contextualSpacing/>
              <w:jc w:val="center"/>
            </w:pPr>
            <w:r>
              <w:t>16/5</w:t>
            </w:r>
          </w:p>
        </w:tc>
        <w:tc>
          <w:tcPr>
            <w:tcW w:w="1645" w:type="dxa"/>
          </w:tcPr>
          <w:p w:rsidR="002E5E5A" w:rsidRDefault="008C0792" w:rsidP="00702A16">
            <w:pPr>
              <w:bidi w:val="0"/>
              <w:contextualSpacing/>
            </w:pPr>
            <w:r>
              <w:t>Mechanisms for school choice</w:t>
            </w:r>
          </w:p>
        </w:tc>
        <w:tc>
          <w:tcPr>
            <w:tcW w:w="6946" w:type="dxa"/>
          </w:tcPr>
          <w:p w:rsidR="008C0792" w:rsidRDefault="008D099F" w:rsidP="00702A16">
            <w:pPr>
              <w:bidi w:val="0"/>
              <w:contextualSpacing/>
            </w:pPr>
            <w:r>
              <w:t xml:space="preserve">- </w:t>
            </w:r>
            <w:proofErr w:type="spellStart"/>
            <w:r w:rsidR="008C0792" w:rsidRPr="00C10231">
              <w:t>Abdulkadiroglu</w:t>
            </w:r>
            <w:proofErr w:type="spellEnd"/>
            <w:r w:rsidR="008C0792" w:rsidRPr="00C10231">
              <w:t xml:space="preserve">, A., &amp; </w:t>
            </w:r>
            <w:proofErr w:type="spellStart"/>
            <w:r w:rsidR="008C0792" w:rsidRPr="00C10231">
              <w:t>Sönmez</w:t>
            </w:r>
            <w:proofErr w:type="spellEnd"/>
            <w:r w:rsidR="008C0792" w:rsidRPr="00C10231">
              <w:t>, T. (2003). School choice: A mechanism design approach. The American Economic Review, 93(3), 729-747.</w:t>
            </w:r>
          </w:p>
          <w:p w:rsidR="008C0792" w:rsidRDefault="008D099F" w:rsidP="00702A16">
            <w:pPr>
              <w:bidi w:val="0"/>
            </w:pPr>
            <w:r>
              <w:t xml:space="preserve">- </w:t>
            </w:r>
            <w:proofErr w:type="spellStart"/>
            <w:r w:rsidR="008C0792" w:rsidRPr="00F665CD">
              <w:t>Abdulkadiroğlu</w:t>
            </w:r>
            <w:proofErr w:type="spellEnd"/>
            <w:r w:rsidR="008C0792" w:rsidRPr="00F665CD">
              <w:t xml:space="preserve">, A., Pathak, P. A., Roth, A. E., &amp; </w:t>
            </w:r>
            <w:proofErr w:type="spellStart"/>
            <w:r w:rsidR="008C0792" w:rsidRPr="00F665CD">
              <w:t>Sönmez</w:t>
            </w:r>
            <w:proofErr w:type="spellEnd"/>
            <w:r w:rsidR="008C0792" w:rsidRPr="00F665CD">
              <w:t>, T. (2005). The Boston public school match. American Economic Review, 368-371.</w:t>
            </w:r>
          </w:p>
          <w:p w:rsidR="008C0792" w:rsidRDefault="008D099F" w:rsidP="00702A16">
            <w:pPr>
              <w:bidi w:val="0"/>
            </w:pPr>
            <w:r>
              <w:t xml:space="preserve">- </w:t>
            </w:r>
            <w:r w:rsidR="008C0792" w:rsidRPr="00900068">
              <w:t xml:space="preserve">Pathak, P. A., &amp; </w:t>
            </w:r>
            <w:proofErr w:type="spellStart"/>
            <w:r w:rsidR="008C0792" w:rsidRPr="00900068">
              <w:t>Sönmez</w:t>
            </w:r>
            <w:proofErr w:type="spellEnd"/>
            <w:r w:rsidR="008C0792" w:rsidRPr="00900068">
              <w:t>, T. (2008). Leveling the playing field: Sincere and sophisticated players in the Boston mechanism. The American Economic Review, 98(4), 1636-1652.</w:t>
            </w:r>
          </w:p>
          <w:p w:rsidR="002E5E5A" w:rsidRDefault="008D099F" w:rsidP="00702A16">
            <w:pPr>
              <w:bidi w:val="0"/>
            </w:pPr>
            <w:r>
              <w:t xml:space="preserve">- </w:t>
            </w:r>
            <w:proofErr w:type="spellStart"/>
            <w:r w:rsidR="008C0792" w:rsidRPr="00BA49A8">
              <w:t>Fragiadakis</w:t>
            </w:r>
            <w:proofErr w:type="spellEnd"/>
            <w:r w:rsidR="008C0792" w:rsidRPr="00BA49A8">
              <w:t xml:space="preserve">, D. E., Iwasaki, A., </w:t>
            </w:r>
            <w:proofErr w:type="spellStart"/>
            <w:r w:rsidR="008C0792" w:rsidRPr="00BA49A8">
              <w:t>Troyan</w:t>
            </w:r>
            <w:proofErr w:type="spellEnd"/>
            <w:r w:rsidR="008C0792" w:rsidRPr="00BA49A8">
              <w:t xml:space="preserve">, P., Ueda, S., &amp; </w:t>
            </w:r>
            <w:proofErr w:type="spellStart"/>
            <w:r w:rsidR="008C0792" w:rsidRPr="00BA49A8">
              <w:t>Yokoo</w:t>
            </w:r>
            <w:proofErr w:type="spellEnd"/>
            <w:r w:rsidR="008C0792" w:rsidRPr="00BA49A8">
              <w:t xml:space="preserve">, M. (2011). </w:t>
            </w:r>
            <w:proofErr w:type="spellStart"/>
            <w:r w:rsidR="008C0792" w:rsidRPr="00BA49A8">
              <w:t>Strategyproof</w:t>
            </w:r>
            <w:proofErr w:type="spellEnd"/>
            <w:r>
              <w:t xml:space="preserve"> Assignment with Minimum Quotas. (Working paper).</w:t>
            </w:r>
          </w:p>
        </w:tc>
      </w:tr>
      <w:tr w:rsidR="008C0792" w:rsidTr="008C0792">
        <w:tc>
          <w:tcPr>
            <w:tcW w:w="731" w:type="dxa"/>
          </w:tcPr>
          <w:p w:rsidR="002E5E5A" w:rsidRDefault="00575C45" w:rsidP="00702A16">
            <w:pPr>
              <w:bidi w:val="0"/>
              <w:contextualSpacing/>
              <w:jc w:val="center"/>
            </w:pPr>
            <w:r>
              <w:t>23/5</w:t>
            </w:r>
          </w:p>
        </w:tc>
        <w:tc>
          <w:tcPr>
            <w:tcW w:w="1645" w:type="dxa"/>
          </w:tcPr>
          <w:p w:rsidR="002E5E5A" w:rsidRDefault="008C0792" w:rsidP="00702A16">
            <w:pPr>
              <w:bidi w:val="0"/>
              <w:contextualSpacing/>
            </w:pPr>
            <w:r>
              <w:t>The Israeli controlled school choice</w:t>
            </w:r>
          </w:p>
        </w:tc>
        <w:tc>
          <w:tcPr>
            <w:tcW w:w="6946" w:type="dxa"/>
          </w:tcPr>
          <w:p w:rsidR="00702A16" w:rsidRDefault="00197D7E" w:rsidP="00702A16">
            <w:pPr>
              <w:bidi w:val="0"/>
            </w:pPr>
            <w:r>
              <w:t xml:space="preserve">- </w:t>
            </w:r>
            <w:proofErr w:type="spellStart"/>
            <w:r w:rsidR="008C0792" w:rsidRPr="00900068">
              <w:t>Kesten</w:t>
            </w:r>
            <w:proofErr w:type="spellEnd"/>
            <w:r w:rsidR="008C0792" w:rsidRPr="00900068">
              <w:t>, O. (2010). School choice with consent. The Quarterly Journal of Economics, 125(3), 1297-1348.</w:t>
            </w:r>
          </w:p>
          <w:p w:rsidR="008C0792" w:rsidRDefault="00197D7E" w:rsidP="00702A16">
            <w:pPr>
              <w:bidi w:val="0"/>
            </w:pPr>
            <w:r>
              <w:t xml:space="preserve">- </w:t>
            </w:r>
            <w:proofErr w:type="spellStart"/>
            <w:r w:rsidR="008C0792">
              <w:t>Abdulkadiroglu</w:t>
            </w:r>
            <w:proofErr w:type="spellEnd"/>
            <w:r w:rsidR="008C0792">
              <w:t>, A., Pathak, P., &amp; Roth, A. E. (2009). Strategy-Proofness versus Efficiency in Matching with Indifferences: Redesigning the NYC High School Match. American Economic Review, 99(5), 1954-78</w:t>
            </w:r>
            <w:r w:rsidR="008C0792" w:rsidRPr="008C0792">
              <w:rPr>
                <w:rFonts w:cs="Arial"/>
                <w:rtl/>
              </w:rPr>
              <w:t>.</w:t>
            </w:r>
          </w:p>
          <w:p w:rsidR="008C0792" w:rsidRDefault="00197D7E" w:rsidP="00702A16">
            <w:pPr>
              <w:bidi w:val="0"/>
            </w:pPr>
            <w:r>
              <w:t xml:space="preserve">- </w:t>
            </w:r>
            <w:r w:rsidR="008C0792" w:rsidRPr="002F27FF">
              <w:t xml:space="preserve">Pathak, P. A., &amp; </w:t>
            </w:r>
            <w:proofErr w:type="spellStart"/>
            <w:r w:rsidR="008C0792" w:rsidRPr="002F27FF">
              <w:t>Sethuraman</w:t>
            </w:r>
            <w:proofErr w:type="spellEnd"/>
            <w:r w:rsidR="008C0792" w:rsidRPr="002F27FF">
              <w:t>, J. (2011). Lotteries in student assignment: An equivalence result. Theoretical Economics, 6(1), 1-17.</w:t>
            </w:r>
          </w:p>
          <w:p w:rsidR="008C0792" w:rsidRDefault="00197D7E" w:rsidP="00702A16">
            <w:pPr>
              <w:bidi w:val="0"/>
            </w:pPr>
            <w:r>
              <w:lastRenderedPageBreak/>
              <w:t xml:space="preserve">- </w:t>
            </w:r>
            <w:proofErr w:type="spellStart"/>
            <w:r w:rsidR="008C0792" w:rsidRPr="001F5C16">
              <w:t>Erdil</w:t>
            </w:r>
            <w:proofErr w:type="spellEnd"/>
            <w:r w:rsidR="008C0792" w:rsidRPr="001F5C16">
              <w:t xml:space="preserve">, A., &amp; </w:t>
            </w:r>
            <w:proofErr w:type="spellStart"/>
            <w:r w:rsidR="008C0792" w:rsidRPr="001F5C16">
              <w:t>Ergin</w:t>
            </w:r>
            <w:proofErr w:type="spellEnd"/>
            <w:r w:rsidR="008C0792" w:rsidRPr="001F5C16">
              <w:t>, H. (2008). What's the matter with tie-breaking? Improving efficiency in school choice. The American Economic Review, 98(3), 669-689.</w:t>
            </w:r>
          </w:p>
          <w:p w:rsidR="00702A16" w:rsidRDefault="00197D7E" w:rsidP="00702A16">
            <w:pPr>
              <w:bidi w:val="0"/>
            </w:pPr>
            <w:r>
              <w:t xml:space="preserve">- </w:t>
            </w:r>
            <w:proofErr w:type="spellStart"/>
            <w:r w:rsidR="008C0792" w:rsidRPr="001F5C16">
              <w:t>Ashlagi</w:t>
            </w:r>
            <w:proofErr w:type="spellEnd"/>
            <w:r w:rsidR="008C0792" w:rsidRPr="001F5C16">
              <w:t xml:space="preserve">, I., </w:t>
            </w:r>
            <w:proofErr w:type="spellStart"/>
            <w:r w:rsidR="008C0792" w:rsidRPr="001F5C16">
              <w:t>Nikzad</w:t>
            </w:r>
            <w:proofErr w:type="spellEnd"/>
            <w:r w:rsidR="008C0792" w:rsidRPr="001F5C16">
              <w:t xml:space="preserve">, A., &amp; </w:t>
            </w:r>
            <w:proofErr w:type="spellStart"/>
            <w:r w:rsidR="008C0792" w:rsidRPr="001F5C16">
              <w:t>Romm</w:t>
            </w:r>
            <w:proofErr w:type="spellEnd"/>
            <w:r w:rsidR="008C0792" w:rsidRPr="001F5C16">
              <w:t>, A. I. (2015). Assigning More Students to Their Top Choices: A Tiebreaking Rule Comparison. Available at SSRN 2585367.</w:t>
            </w:r>
          </w:p>
          <w:p w:rsidR="002E5E5A" w:rsidRDefault="00197D7E" w:rsidP="00702A16">
            <w:pPr>
              <w:bidi w:val="0"/>
            </w:pPr>
            <w:r>
              <w:t xml:space="preserve">- </w:t>
            </w:r>
            <w:proofErr w:type="spellStart"/>
            <w:r w:rsidR="008C0792">
              <w:t>Kesten</w:t>
            </w:r>
            <w:proofErr w:type="spellEnd"/>
            <w:r w:rsidR="008C0792">
              <w:t>, O., &amp; U</w:t>
            </w:r>
            <w:r w:rsidR="008C0792" w:rsidRPr="00515419">
              <w:t>nver, M. U. (2015). A theory of school choice lotteries. Theoretical Economics, 10(2), 543-595.</w:t>
            </w:r>
          </w:p>
        </w:tc>
      </w:tr>
      <w:tr w:rsidR="008C0792" w:rsidTr="008C0792">
        <w:tc>
          <w:tcPr>
            <w:tcW w:w="731" w:type="dxa"/>
          </w:tcPr>
          <w:p w:rsidR="002E5E5A" w:rsidRDefault="00575C45" w:rsidP="00702A16">
            <w:pPr>
              <w:bidi w:val="0"/>
              <w:contextualSpacing/>
              <w:jc w:val="center"/>
            </w:pPr>
            <w:r>
              <w:lastRenderedPageBreak/>
              <w:t>30/5</w:t>
            </w:r>
          </w:p>
        </w:tc>
        <w:tc>
          <w:tcPr>
            <w:tcW w:w="1645" w:type="dxa"/>
          </w:tcPr>
          <w:p w:rsidR="002E5E5A" w:rsidRDefault="008C0792" w:rsidP="00702A16">
            <w:pPr>
              <w:bidi w:val="0"/>
              <w:contextualSpacing/>
            </w:pPr>
            <w:r w:rsidRPr="000A3A10">
              <w:t>Generalized matching and assignment games</w:t>
            </w:r>
          </w:p>
        </w:tc>
        <w:tc>
          <w:tcPr>
            <w:tcW w:w="6946" w:type="dxa"/>
          </w:tcPr>
          <w:p w:rsidR="008C0792" w:rsidRPr="000A3A10" w:rsidRDefault="00197D7E" w:rsidP="00702A16">
            <w:pPr>
              <w:bidi w:val="0"/>
            </w:pPr>
            <w:r>
              <w:t xml:space="preserve">- </w:t>
            </w:r>
            <w:r w:rsidR="008C0792" w:rsidRPr="000A3A10">
              <w:t>Roth and Sotomayor</w:t>
            </w:r>
            <w:r w:rsidR="008C0792">
              <w:t>, chapters 6-8.</w:t>
            </w:r>
          </w:p>
          <w:p w:rsidR="008C0792" w:rsidRPr="000A3A10" w:rsidRDefault="00197D7E" w:rsidP="00702A16">
            <w:pPr>
              <w:bidi w:val="0"/>
            </w:pPr>
            <w:r>
              <w:rPr>
                <w:rFonts w:cs="Arial"/>
                <w:color w:val="222222"/>
                <w:shd w:val="clear" w:color="auto" w:fill="FFFFFF"/>
              </w:rPr>
              <w:t xml:space="preserve">- </w:t>
            </w:r>
            <w:r w:rsidR="008C0792" w:rsidRPr="008C0792">
              <w:rPr>
                <w:rFonts w:cs="Arial"/>
                <w:color w:val="222222"/>
                <w:shd w:val="clear" w:color="auto" w:fill="FFFFFF"/>
              </w:rPr>
              <w:t>Kelso Jr, A. S., &amp; Crawford, V. P. (1982). Job matching, coalition formation, and gross substitutes.</w:t>
            </w:r>
            <w:r w:rsidR="008C0792" w:rsidRPr="008C0792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  <w:proofErr w:type="spellStart"/>
            <w:r w:rsidR="008C0792" w:rsidRPr="008C0792">
              <w:rPr>
                <w:rFonts w:cs="Arial"/>
                <w:i/>
                <w:iCs/>
                <w:color w:val="222222"/>
                <w:shd w:val="clear" w:color="auto" w:fill="FFFFFF"/>
              </w:rPr>
              <w:t>Econometrica</w:t>
            </w:r>
            <w:proofErr w:type="spellEnd"/>
            <w:r w:rsidR="008C0792" w:rsidRPr="008C0792">
              <w:rPr>
                <w:rFonts w:cs="Arial"/>
                <w:color w:val="222222"/>
                <w:shd w:val="clear" w:color="auto" w:fill="FFFFFF"/>
              </w:rPr>
              <w:t>, 1483-1504.</w:t>
            </w:r>
          </w:p>
          <w:p w:rsidR="008C0792" w:rsidRPr="000A3A10" w:rsidRDefault="00197D7E" w:rsidP="00702A16">
            <w:pPr>
              <w:bidi w:val="0"/>
            </w:pPr>
            <w:r>
              <w:t xml:space="preserve">- </w:t>
            </w:r>
            <w:r w:rsidR="008C0792" w:rsidRPr="000A3A10">
              <w:t xml:space="preserve">Hatfield, J. W., &amp; </w:t>
            </w:r>
            <w:proofErr w:type="spellStart"/>
            <w:r w:rsidR="008C0792" w:rsidRPr="000A3A10">
              <w:t>Milgrom</w:t>
            </w:r>
            <w:proofErr w:type="spellEnd"/>
            <w:r w:rsidR="008C0792" w:rsidRPr="000A3A10">
              <w:t>, P. R. (2005). Matching with contracts. American Economic Review, 913-935.</w:t>
            </w:r>
          </w:p>
          <w:p w:rsidR="008C0792" w:rsidRDefault="00197D7E" w:rsidP="00702A16">
            <w:pPr>
              <w:bidi w:val="0"/>
            </w:pPr>
            <w:r>
              <w:t xml:space="preserve">- </w:t>
            </w:r>
            <w:proofErr w:type="spellStart"/>
            <w:r w:rsidR="008C0792" w:rsidRPr="000A3A10">
              <w:t>Ostrovsky</w:t>
            </w:r>
            <w:proofErr w:type="spellEnd"/>
            <w:r w:rsidR="008C0792" w:rsidRPr="000A3A10">
              <w:t>, M. (2008). Stability in supply chain networks. The American Economic Review, 897-923.</w:t>
            </w:r>
          </w:p>
          <w:p w:rsidR="008C0792" w:rsidRDefault="00197D7E" w:rsidP="00702A16">
            <w:pPr>
              <w:bidi w:val="0"/>
            </w:pPr>
            <w:r>
              <w:t xml:space="preserve">- </w:t>
            </w:r>
            <w:r w:rsidR="008C0792" w:rsidRPr="000A3A10">
              <w:t xml:space="preserve">Shapley, L. S., &amp; </w:t>
            </w:r>
            <w:proofErr w:type="spellStart"/>
            <w:r w:rsidR="008C0792" w:rsidRPr="000A3A10">
              <w:t>Shubik</w:t>
            </w:r>
            <w:proofErr w:type="spellEnd"/>
            <w:r w:rsidR="008C0792" w:rsidRPr="000A3A10">
              <w:t>, M. (1971). The assignment game I: The core. International Journal of game theory, 1(1), 111-130.</w:t>
            </w:r>
          </w:p>
          <w:p w:rsidR="002E5E5A" w:rsidRDefault="00197D7E" w:rsidP="00197D7E">
            <w:pPr>
              <w:bidi w:val="0"/>
            </w:pPr>
            <w:r>
              <w:t xml:space="preserve">- </w:t>
            </w:r>
            <w:r w:rsidR="008C0792" w:rsidRPr="000A3A10">
              <w:t xml:space="preserve">Hassidim, A., &amp; </w:t>
            </w:r>
            <w:proofErr w:type="spellStart"/>
            <w:r w:rsidR="008C0792" w:rsidRPr="000A3A10">
              <w:t>Romm</w:t>
            </w:r>
            <w:proofErr w:type="spellEnd"/>
            <w:r w:rsidR="008C0792" w:rsidRPr="000A3A10">
              <w:t xml:space="preserve">, A. (2014). An approximate" law of one price" in random assignment games. </w:t>
            </w:r>
            <w:proofErr w:type="spellStart"/>
            <w:proofErr w:type="gramStart"/>
            <w:r w:rsidR="008C0792" w:rsidRPr="000A3A10">
              <w:t>arXiv</w:t>
            </w:r>
            <w:proofErr w:type="spellEnd"/>
            <w:proofErr w:type="gramEnd"/>
            <w:r w:rsidR="008C0792" w:rsidRPr="000A3A10">
              <w:t xml:space="preserve"> preprint:1404.6103.</w:t>
            </w:r>
          </w:p>
        </w:tc>
      </w:tr>
      <w:tr w:rsidR="008C0792" w:rsidTr="008C0792">
        <w:tc>
          <w:tcPr>
            <w:tcW w:w="731" w:type="dxa"/>
          </w:tcPr>
          <w:p w:rsidR="002E5E5A" w:rsidRDefault="00575C45" w:rsidP="00702A16">
            <w:pPr>
              <w:bidi w:val="0"/>
              <w:contextualSpacing/>
              <w:jc w:val="center"/>
            </w:pPr>
            <w:r>
              <w:t>6/6</w:t>
            </w:r>
          </w:p>
        </w:tc>
        <w:tc>
          <w:tcPr>
            <w:tcW w:w="1645" w:type="dxa"/>
          </w:tcPr>
          <w:p w:rsidR="002E5E5A" w:rsidRDefault="008C0792" w:rsidP="00702A16">
            <w:pPr>
              <w:bidi w:val="0"/>
              <w:contextualSpacing/>
            </w:pPr>
            <w:r>
              <w:t>Signaling</w:t>
            </w:r>
          </w:p>
        </w:tc>
        <w:tc>
          <w:tcPr>
            <w:tcW w:w="6946" w:type="dxa"/>
          </w:tcPr>
          <w:p w:rsidR="00F16929" w:rsidRDefault="00197D7E" w:rsidP="00702A16">
            <w:pPr>
              <w:bidi w:val="0"/>
              <w:contextualSpacing/>
            </w:pPr>
            <w:r w:rsidRPr="00197D7E">
              <w:t xml:space="preserve">- </w:t>
            </w:r>
            <w:r w:rsidR="008C0792" w:rsidRPr="009F5AC8">
              <w:rPr>
                <w:b/>
                <w:bCs/>
              </w:rPr>
              <w:t>* Required *</w:t>
            </w:r>
            <w:r w:rsidR="008C0792">
              <w:t xml:space="preserve"> </w:t>
            </w:r>
            <w:r w:rsidR="008C0792" w:rsidRPr="00484F4A">
              <w:t xml:space="preserve">Coles, P., </w:t>
            </w:r>
            <w:proofErr w:type="spellStart"/>
            <w:r w:rsidR="008C0792" w:rsidRPr="00484F4A">
              <w:t>Cawley</w:t>
            </w:r>
            <w:proofErr w:type="spellEnd"/>
            <w:r w:rsidR="008C0792" w:rsidRPr="00484F4A">
              <w:t xml:space="preserve">, J., Levine, P. B., </w:t>
            </w:r>
            <w:proofErr w:type="spellStart"/>
            <w:r w:rsidR="008C0792" w:rsidRPr="00484F4A">
              <w:t>Niederle</w:t>
            </w:r>
            <w:proofErr w:type="spellEnd"/>
            <w:r w:rsidR="008C0792" w:rsidRPr="00484F4A">
              <w:t>, M., Roth, A. E., &amp; Siegfried, J. J. (2010). The job market for new economists: A market design perspective. The Journal of Economic Perspectives, 24(4), 187-206.</w:t>
            </w:r>
          </w:p>
          <w:p w:rsidR="00F16929" w:rsidRDefault="00197D7E" w:rsidP="00702A16">
            <w:pPr>
              <w:bidi w:val="0"/>
              <w:contextualSpacing/>
            </w:pPr>
            <w:r>
              <w:t xml:space="preserve">- </w:t>
            </w:r>
            <w:r w:rsidR="008C0792">
              <w:t xml:space="preserve">Coles, P., </w:t>
            </w:r>
            <w:proofErr w:type="spellStart"/>
            <w:r w:rsidR="008C0792">
              <w:t>Kushnir</w:t>
            </w:r>
            <w:proofErr w:type="spellEnd"/>
            <w:r w:rsidR="008C0792">
              <w:t xml:space="preserve">, A., &amp; </w:t>
            </w:r>
            <w:proofErr w:type="spellStart"/>
            <w:r w:rsidR="008C0792">
              <w:t>Niederle</w:t>
            </w:r>
            <w:proofErr w:type="spellEnd"/>
            <w:r w:rsidR="008C0792">
              <w:t>, M. (2013). Preference Signaling in Matching Markets. American Economic Journal: Microeconomics, 5(2), 99-134</w:t>
            </w:r>
            <w:r w:rsidR="008C0792" w:rsidRPr="008C0792">
              <w:rPr>
                <w:rFonts w:cs="Arial"/>
                <w:rtl/>
              </w:rPr>
              <w:t>.</w:t>
            </w:r>
          </w:p>
          <w:p w:rsidR="002E5E5A" w:rsidRDefault="00197D7E" w:rsidP="00702A16">
            <w:pPr>
              <w:bidi w:val="0"/>
              <w:contextualSpacing/>
            </w:pPr>
            <w:r>
              <w:t xml:space="preserve">- </w:t>
            </w:r>
            <w:r w:rsidR="008C0792" w:rsidRPr="005069B5">
              <w:t xml:space="preserve">Lee, S., &amp; </w:t>
            </w:r>
            <w:proofErr w:type="spellStart"/>
            <w:r w:rsidR="008C0792" w:rsidRPr="005069B5">
              <w:t>Niederle</w:t>
            </w:r>
            <w:proofErr w:type="spellEnd"/>
            <w:r w:rsidR="008C0792" w:rsidRPr="005069B5">
              <w:t xml:space="preserve">, M. (2011). Propose with a rose? </w:t>
            </w:r>
            <w:proofErr w:type="gramStart"/>
            <w:r w:rsidR="008C0792" w:rsidRPr="005069B5">
              <w:t>signaling</w:t>
            </w:r>
            <w:proofErr w:type="gramEnd"/>
            <w:r w:rsidR="008C0792" w:rsidRPr="005069B5">
              <w:t xml:space="preserve"> in internet dating markets. Experimental Economics, 1-25.</w:t>
            </w:r>
          </w:p>
        </w:tc>
      </w:tr>
      <w:tr w:rsidR="008C0792" w:rsidTr="009B18AA">
        <w:tc>
          <w:tcPr>
            <w:tcW w:w="731" w:type="dxa"/>
          </w:tcPr>
          <w:p w:rsidR="008C0792" w:rsidRDefault="008C0792" w:rsidP="00702A16">
            <w:pPr>
              <w:bidi w:val="0"/>
              <w:spacing w:before="240"/>
              <w:contextualSpacing/>
              <w:jc w:val="center"/>
            </w:pPr>
            <w:r>
              <w:t>13</w:t>
            </w:r>
            <w:r w:rsidR="00575C45">
              <w:t>/6</w:t>
            </w:r>
          </w:p>
        </w:tc>
        <w:tc>
          <w:tcPr>
            <w:tcW w:w="1645" w:type="dxa"/>
          </w:tcPr>
          <w:p w:rsidR="008C0792" w:rsidRDefault="008C0792" w:rsidP="00702A16">
            <w:pPr>
              <w:bidi w:val="0"/>
              <w:spacing w:before="240"/>
            </w:pPr>
            <w:r>
              <w:t>Students presentations</w:t>
            </w:r>
          </w:p>
        </w:tc>
        <w:tc>
          <w:tcPr>
            <w:tcW w:w="6946" w:type="dxa"/>
          </w:tcPr>
          <w:p w:rsidR="008C0792" w:rsidRDefault="008C0792" w:rsidP="00702A16">
            <w:pPr>
              <w:bidi w:val="0"/>
              <w:spacing w:before="240"/>
              <w:contextualSpacing/>
            </w:pPr>
          </w:p>
        </w:tc>
      </w:tr>
      <w:tr w:rsidR="008C0792" w:rsidTr="004C060C">
        <w:tc>
          <w:tcPr>
            <w:tcW w:w="9322" w:type="dxa"/>
            <w:gridSpan w:val="3"/>
          </w:tcPr>
          <w:p w:rsidR="008C0792" w:rsidRPr="008C0792" w:rsidRDefault="008C0792" w:rsidP="00702A1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Note: final paper is due in two weeks!</w:t>
            </w:r>
          </w:p>
        </w:tc>
      </w:tr>
    </w:tbl>
    <w:p w:rsidR="009F5AC8" w:rsidRDefault="009F5AC8" w:rsidP="00702A16">
      <w:pPr>
        <w:bidi w:val="0"/>
        <w:spacing w:after="120" w:line="240" w:lineRule="auto"/>
        <w:contextualSpacing/>
      </w:pPr>
    </w:p>
    <w:p w:rsidR="002E5E5A" w:rsidRDefault="002E5E5A" w:rsidP="00702A16">
      <w:pPr>
        <w:bidi w:val="0"/>
        <w:spacing w:after="120" w:line="240" w:lineRule="auto"/>
        <w:contextualSpacing/>
      </w:pPr>
    </w:p>
    <w:p w:rsidR="00F16929" w:rsidRDefault="00F16929" w:rsidP="00702A16">
      <w:pPr>
        <w:bidi w:val="0"/>
        <w:spacing w:line="240" w:lineRule="auto"/>
        <w:rPr>
          <w:b/>
          <w:bCs/>
        </w:rPr>
      </w:pPr>
      <w:r>
        <w:rPr>
          <w:b/>
          <w:bCs/>
        </w:rPr>
        <w:t>Other courses and relevant websites:</w:t>
      </w:r>
    </w:p>
    <w:p w:rsidR="00F16929" w:rsidRPr="00990C77" w:rsidRDefault="00F16929" w:rsidP="00702A16">
      <w:pPr>
        <w:bidi w:val="0"/>
        <w:spacing w:after="120" w:line="240" w:lineRule="auto"/>
      </w:pPr>
      <w:r>
        <w:t>Alvin Roth's blog on market design (</w:t>
      </w:r>
      <w:hyperlink r:id="rId7" w:history="1">
        <w:r w:rsidRPr="003B0BF0">
          <w:rPr>
            <w:rStyle w:val="Hyperlink"/>
          </w:rPr>
          <w:t>link</w:t>
        </w:r>
      </w:hyperlink>
      <w:r>
        <w:t>)</w:t>
      </w:r>
    </w:p>
    <w:p w:rsidR="00F16929" w:rsidRDefault="00F16929" w:rsidP="00702A16">
      <w:pPr>
        <w:bidi w:val="0"/>
        <w:spacing w:after="120" w:line="240" w:lineRule="auto"/>
      </w:pPr>
      <w:r>
        <w:t>Parag Pathak's Market Design class (</w:t>
      </w:r>
      <w:hyperlink r:id="rId8" w:history="1">
        <w:r w:rsidRPr="003B0BF0">
          <w:rPr>
            <w:rStyle w:val="Hyperlink"/>
          </w:rPr>
          <w:t>Syllabus</w:t>
        </w:r>
      </w:hyperlink>
      <w:r>
        <w:t>)</w:t>
      </w:r>
    </w:p>
    <w:p w:rsidR="00F16929" w:rsidRPr="00990C77" w:rsidRDefault="00F16929" w:rsidP="00702A16">
      <w:pPr>
        <w:bidi w:val="0"/>
        <w:spacing w:after="120" w:line="240" w:lineRule="auto"/>
      </w:pPr>
      <w:r>
        <w:t xml:space="preserve">Scott </w:t>
      </w:r>
      <w:proofErr w:type="spellStart"/>
      <w:r>
        <w:t>Kominers</w:t>
      </w:r>
      <w:proofErr w:type="spellEnd"/>
      <w:r>
        <w:t>' Topics in Matching and Market Design classes (</w:t>
      </w:r>
      <w:hyperlink r:id="rId9" w:history="1">
        <w:proofErr w:type="gramStart"/>
        <w:r w:rsidRPr="003B0BF0">
          <w:rPr>
            <w:rStyle w:val="Hyperlink"/>
          </w:rPr>
          <w:t>Winter</w:t>
        </w:r>
        <w:proofErr w:type="gramEnd"/>
        <w:r w:rsidRPr="003B0BF0">
          <w:rPr>
            <w:rStyle w:val="Hyperlink"/>
          </w:rPr>
          <w:t xml:space="preserve"> 2012</w:t>
        </w:r>
      </w:hyperlink>
      <w:r>
        <w:t xml:space="preserve">, </w:t>
      </w:r>
      <w:hyperlink r:id="rId10" w:history="1">
        <w:r w:rsidRPr="003B0BF0">
          <w:rPr>
            <w:rStyle w:val="Hyperlink"/>
          </w:rPr>
          <w:t>Spring 2013</w:t>
        </w:r>
      </w:hyperlink>
      <w:r>
        <w:t>)</w:t>
      </w:r>
    </w:p>
    <w:p w:rsidR="00F16929" w:rsidRDefault="00F16929" w:rsidP="00702A16">
      <w:pPr>
        <w:bidi w:val="0"/>
        <w:spacing w:line="240" w:lineRule="auto"/>
      </w:pPr>
      <w:proofErr w:type="spellStart"/>
      <w:r>
        <w:t>Fuhito</w:t>
      </w:r>
      <w:proofErr w:type="spellEnd"/>
      <w:r>
        <w:t xml:space="preserve"> Kojima's Matching and Market Design (</w:t>
      </w:r>
      <w:hyperlink r:id="rId11" w:history="1">
        <w:r w:rsidRPr="00C8480A">
          <w:rPr>
            <w:rStyle w:val="Hyperlink"/>
          </w:rPr>
          <w:t>link</w:t>
        </w:r>
      </w:hyperlink>
      <w:r>
        <w:t>)</w:t>
      </w:r>
    </w:p>
    <w:p w:rsidR="003D0D7B" w:rsidRDefault="003D0D7B" w:rsidP="00702A16">
      <w:pPr>
        <w:bidi w:val="0"/>
        <w:spacing w:after="120" w:line="240" w:lineRule="auto"/>
      </w:pPr>
    </w:p>
    <w:p w:rsidR="003D0D7B" w:rsidRPr="000A3A10" w:rsidRDefault="003D0D7B" w:rsidP="00702A16">
      <w:pPr>
        <w:pStyle w:val="ListParagraph"/>
        <w:bidi w:val="0"/>
        <w:spacing w:after="120" w:line="240" w:lineRule="auto"/>
        <w:ind w:left="1080"/>
      </w:pPr>
    </w:p>
    <w:p w:rsidR="003D0D7B" w:rsidRDefault="003D0D7B" w:rsidP="00702A16">
      <w:pPr>
        <w:pStyle w:val="ListParagraph"/>
        <w:bidi w:val="0"/>
        <w:spacing w:after="120" w:line="240" w:lineRule="auto"/>
        <w:ind w:left="1080"/>
      </w:pPr>
    </w:p>
    <w:p w:rsidR="00A61349" w:rsidRDefault="00A61349" w:rsidP="00702A16">
      <w:pPr>
        <w:bidi w:val="0"/>
        <w:spacing w:line="240" w:lineRule="auto"/>
      </w:pPr>
    </w:p>
    <w:p w:rsidR="00C73F56" w:rsidRDefault="00364676" w:rsidP="00702A16">
      <w:pPr>
        <w:bidi w:val="0"/>
        <w:spacing w:line="240" w:lineRule="auto"/>
      </w:pPr>
      <w:r>
        <w:tab/>
      </w:r>
    </w:p>
    <w:p w:rsidR="00335DA6" w:rsidRPr="007E364F" w:rsidRDefault="00335DA6" w:rsidP="00702A16">
      <w:pPr>
        <w:bidi w:val="0"/>
        <w:spacing w:line="240" w:lineRule="auto"/>
        <w:ind w:left="720"/>
      </w:pPr>
    </w:p>
    <w:p w:rsidR="000D25CE" w:rsidRPr="00335DA6" w:rsidRDefault="000D25CE" w:rsidP="00702A16">
      <w:pPr>
        <w:bidi w:val="0"/>
        <w:spacing w:line="240" w:lineRule="auto"/>
        <w:rPr>
          <w:b/>
          <w:bCs/>
          <w:u w:val="single"/>
        </w:rPr>
      </w:pPr>
    </w:p>
    <w:sectPr w:rsidR="000D25CE" w:rsidRPr="00335DA6" w:rsidSect="002F68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AD9"/>
    <w:multiLevelType w:val="hybridMultilevel"/>
    <w:tmpl w:val="DDC6A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CC47F3"/>
    <w:multiLevelType w:val="hybridMultilevel"/>
    <w:tmpl w:val="52421DB6"/>
    <w:lvl w:ilvl="0" w:tplc="773011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954AB"/>
    <w:multiLevelType w:val="hybridMultilevel"/>
    <w:tmpl w:val="E39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3E2D"/>
    <w:multiLevelType w:val="hybridMultilevel"/>
    <w:tmpl w:val="BC50E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6435BE"/>
    <w:multiLevelType w:val="hybridMultilevel"/>
    <w:tmpl w:val="11322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1D"/>
    <w:rsid w:val="00002208"/>
    <w:rsid w:val="00012E07"/>
    <w:rsid w:val="000142D3"/>
    <w:rsid w:val="000615C6"/>
    <w:rsid w:val="00064C6E"/>
    <w:rsid w:val="00076A71"/>
    <w:rsid w:val="000A3A10"/>
    <w:rsid w:val="000D25CE"/>
    <w:rsid w:val="000E6838"/>
    <w:rsid w:val="001018E9"/>
    <w:rsid w:val="00120A1A"/>
    <w:rsid w:val="00152DEB"/>
    <w:rsid w:val="00161738"/>
    <w:rsid w:val="001903CF"/>
    <w:rsid w:val="00192B62"/>
    <w:rsid w:val="00197D7E"/>
    <w:rsid w:val="001B052F"/>
    <w:rsid w:val="001C4C06"/>
    <w:rsid w:val="001E15DD"/>
    <w:rsid w:val="001E4092"/>
    <w:rsid w:val="001F5C16"/>
    <w:rsid w:val="002329C3"/>
    <w:rsid w:val="0024118A"/>
    <w:rsid w:val="0025796D"/>
    <w:rsid w:val="00277428"/>
    <w:rsid w:val="002C2E81"/>
    <w:rsid w:val="002E5E5A"/>
    <w:rsid w:val="002F27FF"/>
    <w:rsid w:val="002F689E"/>
    <w:rsid w:val="003001B8"/>
    <w:rsid w:val="003024E6"/>
    <w:rsid w:val="00305F3A"/>
    <w:rsid w:val="00313450"/>
    <w:rsid w:val="00320CC8"/>
    <w:rsid w:val="00321A33"/>
    <w:rsid w:val="0032678E"/>
    <w:rsid w:val="00335DA6"/>
    <w:rsid w:val="00364676"/>
    <w:rsid w:val="003A32C2"/>
    <w:rsid w:val="003A3E8D"/>
    <w:rsid w:val="003B0BF0"/>
    <w:rsid w:val="003B3EC5"/>
    <w:rsid w:val="003D0D7B"/>
    <w:rsid w:val="003D2613"/>
    <w:rsid w:val="00403FB6"/>
    <w:rsid w:val="00437546"/>
    <w:rsid w:val="00441DCF"/>
    <w:rsid w:val="00443170"/>
    <w:rsid w:val="00466A8E"/>
    <w:rsid w:val="00470CFC"/>
    <w:rsid w:val="00476D36"/>
    <w:rsid w:val="00484F4A"/>
    <w:rsid w:val="004A04A0"/>
    <w:rsid w:val="004F5F70"/>
    <w:rsid w:val="004F61AF"/>
    <w:rsid w:val="004F731C"/>
    <w:rsid w:val="005069B5"/>
    <w:rsid w:val="00515419"/>
    <w:rsid w:val="005267C4"/>
    <w:rsid w:val="00575C45"/>
    <w:rsid w:val="005E3F08"/>
    <w:rsid w:val="00601106"/>
    <w:rsid w:val="00611918"/>
    <w:rsid w:val="006312E0"/>
    <w:rsid w:val="00683C90"/>
    <w:rsid w:val="0069557A"/>
    <w:rsid w:val="006A27F6"/>
    <w:rsid w:val="006B46B3"/>
    <w:rsid w:val="00702A16"/>
    <w:rsid w:val="007158A8"/>
    <w:rsid w:val="007218AA"/>
    <w:rsid w:val="00740515"/>
    <w:rsid w:val="0074135A"/>
    <w:rsid w:val="007C566D"/>
    <w:rsid w:val="007E364F"/>
    <w:rsid w:val="00812AE3"/>
    <w:rsid w:val="008152B0"/>
    <w:rsid w:val="00815A14"/>
    <w:rsid w:val="008213AB"/>
    <w:rsid w:val="00830C05"/>
    <w:rsid w:val="00866094"/>
    <w:rsid w:val="008B297A"/>
    <w:rsid w:val="008C0792"/>
    <w:rsid w:val="008C5B8A"/>
    <w:rsid w:val="008D099F"/>
    <w:rsid w:val="008D1780"/>
    <w:rsid w:val="008F1827"/>
    <w:rsid w:val="00900068"/>
    <w:rsid w:val="009054B7"/>
    <w:rsid w:val="00923207"/>
    <w:rsid w:val="0096460C"/>
    <w:rsid w:val="00990C77"/>
    <w:rsid w:val="009A17C7"/>
    <w:rsid w:val="009C00CE"/>
    <w:rsid w:val="009C3B1D"/>
    <w:rsid w:val="009D218E"/>
    <w:rsid w:val="009E2457"/>
    <w:rsid w:val="009F5AC8"/>
    <w:rsid w:val="00A07213"/>
    <w:rsid w:val="00A314DD"/>
    <w:rsid w:val="00A526FD"/>
    <w:rsid w:val="00A61349"/>
    <w:rsid w:val="00A66421"/>
    <w:rsid w:val="00A90B7A"/>
    <w:rsid w:val="00AA0FBC"/>
    <w:rsid w:val="00AA1455"/>
    <w:rsid w:val="00AC16FE"/>
    <w:rsid w:val="00AD2115"/>
    <w:rsid w:val="00AE1101"/>
    <w:rsid w:val="00AF0550"/>
    <w:rsid w:val="00AF5D7D"/>
    <w:rsid w:val="00B14BD1"/>
    <w:rsid w:val="00B54DC4"/>
    <w:rsid w:val="00B679E0"/>
    <w:rsid w:val="00BA49A8"/>
    <w:rsid w:val="00BB3FE5"/>
    <w:rsid w:val="00C10231"/>
    <w:rsid w:val="00C13975"/>
    <w:rsid w:val="00C25F1D"/>
    <w:rsid w:val="00C514A8"/>
    <w:rsid w:val="00C5406A"/>
    <w:rsid w:val="00C73F56"/>
    <w:rsid w:val="00C8480A"/>
    <w:rsid w:val="00C95D78"/>
    <w:rsid w:val="00C96FDD"/>
    <w:rsid w:val="00CA5AA1"/>
    <w:rsid w:val="00CC069A"/>
    <w:rsid w:val="00CE1CD7"/>
    <w:rsid w:val="00D36130"/>
    <w:rsid w:val="00D60DAE"/>
    <w:rsid w:val="00D86DCA"/>
    <w:rsid w:val="00DA73AD"/>
    <w:rsid w:val="00DF2561"/>
    <w:rsid w:val="00E24250"/>
    <w:rsid w:val="00EA321D"/>
    <w:rsid w:val="00EB4068"/>
    <w:rsid w:val="00EC6225"/>
    <w:rsid w:val="00EE37C3"/>
    <w:rsid w:val="00EE58C9"/>
    <w:rsid w:val="00EF5C30"/>
    <w:rsid w:val="00F16929"/>
    <w:rsid w:val="00F665CD"/>
    <w:rsid w:val="00F674C9"/>
    <w:rsid w:val="00F7061B"/>
    <w:rsid w:val="00F73621"/>
    <w:rsid w:val="00FA174F"/>
    <w:rsid w:val="00FA7730"/>
    <w:rsid w:val="00FD5772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139EC-D39E-422C-94F0-78B411C6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74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4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90B7A"/>
  </w:style>
  <w:style w:type="table" w:styleId="TableGrid">
    <w:name w:val="Table Grid"/>
    <w:basedOn w:val="TableNormal"/>
    <w:uiPriority w:val="59"/>
    <w:rsid w:val="002E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cs.mit.edu/files/95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rketdesigner.blogspot.co.i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saf.romm@mail.huji.ac.il" TargetMode="External"/><Relationship Id="rId11" Type="http://schemas.openxmlformats.org/officeDocument/2006/relationships/hyperlink" Target="https://sites.google.com/site/fuhitokojimaeconomics/undergradseminar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ottkom.com/courses/Topics-in-Matching-and-Market-Design_2012-2013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ottkom.com/courses/Topics-in-Matching-and-Market-Design_2011-2012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43F1FE7-4D83-4ADF-B138-96A56D85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HUJI</Company>
  <LinksUpToDate>false</LinksUpToDate>
  <CharactersWithSpaces>11278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HUJI</dc:creator>
  <cp:lastModifiedBy>assafr@gmail.com</cp:lastModifiedBy>
  <cp:revision>137</cp:revision>
  <cp:lastPrinted>2015-10-12T18:19:00Z</cp:lastPrinted>
  <dcterms:created xsi:type="dcterms:W3CDTF">2015-07-08T11:45:00Z</dcterms:created>
  <dcterms:modified xsi:type="dcterms:W3CDTF">2015-10-12T18:19:00Z</dcterms:modified>
</cp:coreProperties>
</file>